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5AA80" w14:textId="11DF0CB7" w:rsidR="00C446CA" w:rsidRPr="002C5ED4" w:rsidRDefault="00C446CA" w:rsidP="00C446CA">
      <w:pPr>
        <w:pStyle w:val="Titre1"/>
      </w:pPr>
      <w:r w:rsidRPr="002C5ED4">
        <w:t xml:space="preserve">Fiche - </w:t>
      </w:r>
      <w:r>
        <w:t>Obligation d’emploi</w:t>
      </w:r>
    </w:p>
    <w:p w14:paraId="699AB309" w14:textId="77777777" w:rsidR="00C446CA" w:rsidRPr="0080414B" w:rsidRDefault="00C446CA" w:rsidP="00C446CA">
      <w:pPr>
        <w:jc w:val="both"/>
      </w:pPr>
    </w:p>
    <w:p w14:paraId="6ED35C80" w14:textId="4FBA9889" w:rsidR="00C446CA" w:rsidRPr="0080414B" w:rsidRDefault="00C446CA" w:rsidP="00C446CA">
      <w:pPr>
        <w:pStyle w:val="Titre2"/>
        <w:jc w:val="both"/>
      </w:pPr>
      <w:r w:rsidRPr="0080414B">
        <w:t xml:space="preserve">Qu'est-ce que </w:t>
      </w:r>
      <w:r>
        <w:t>l’obligation d’emploi ?</w:t>
      </w:r>
    </w:p>
    <w:p w14:paraId="4DCEA93A" w14:textId="6EB02D0C" w:rsidR="00C446CA" w:rsidRPr="00622E9B" w:rsidRDefault="00C446CA" w:rsidP="00C446CA">
      <w:pPr>
        <w:pStyle w:val="04xlpa"/>
        <w:spacing w:line="285" w:lineRule="atLeast"/>
        <w:jc w:val="both"/>
        <w:rPr>
          <w:rFonts w:ascii="Arial" w:hAnsi="Arial" w:cs="Arial"/>
          <w:color w:val="000000" w:themeColor="text1"/>
        </w:rPr>
      </w:pPr>
      <w:r w:rsidRPr="00622E9B">
        <w:rPr>
          <w:rStyle w:val="jsgrdq"/>
          <w:rFonts w:ascii="Arial" w:hAnsi="Arial" w:cs="Arial"/>
          <w:color w:val="000000" w:themeColor="text1"/>
        </w:rPr>
        <w:t>L’obligation d’emploi correspond à l’obligation, tant pour les établissements du secteur privé que du secteur public employant</w:t>
      </w:r>
      <w:r w:rsidRPr="00622E9B">
        <w:rPr>
          <w:rStyle w:val="apple-converted-space"/>
          <w:rFonts w:ascii="Arial" w:hAnsi="Arial" w:cs="Arial"/>
          <w:color w:val="000000" w:themeColor="text1"/>
        </w:rPr>
        <w:t> </w:t>
      </w:r>
      <w:r w:rsidRPr="00622E9B">
        <w:rPr>
          <w:rStyle w:val="jsgrdq"/>
          <w:rFonts w:ascii="Arial" w:hAnsi="Arial" w:cs="Arial"/>
          <w:color w:val="000000" w:themeColor="text1"/>
        </w:rPr>
        <w:t>au moins 20 salariés ou agents, d’employer</w:t>
      </w:r>
      <w:r w:rsidRPr="00622E9B">
        <w:rPr>
          <w:rStyle w:val="apple-converted-space"/>
          <w:rFonts w:ascii="Arial" w:hAnsi="Arial" w:cs="Arial"/>
          <w:color w:val="000000" w:themeColor="text1"/>
        </w:rPr>
        <w:t> </w:t>
      </w:r>
      <w:r w:rsidRPr="00622E9B">
        <w:rPr>
          <w:rStyle w:val="jsgrdq"/>
          <w:rFonts w:ascii="Arial" w:hAnsi="Arial" w:cs="Arial"/>
          <w:color w:val="000000" w:themeColor="text1"/>
        </w:rPr>
        <w:t>au moins 6%</w:t>
      </w:r>
      <w:r w:rsidRPr="00622E9B">
        <w:rPr>
          <w:rStyle w:val="apple-converted-space"/>
          <w:rFonts w:ascii="Arial" w:hAnsi="Arial" w:cs="Arial"/>
          <w:color w:val="000000" w:themeColor="text1"/>
        </w:rPr>
        <w:t> </w:t>
      </w:r>
      <w:r w:rsidRPr="00622E9B">
        <w:rPr>
          <w:rStyle w:val="jsgrdq"/>
          <w:rFonts w:ascii="Arial" w:hAnsi="Arial" w:cs="Arial"/>
          <w:color w:val="000000" w:themeColor="text1"/>
        </w:rPr>
        <w:t>(ou 2% à Mayotte) de personnes en situation de handicap. Ce taux de 6% est amené à évoluer tous les 5 ans (soit le 1er janvier 2025).</w:t>
      </w:r>
    </w:p>
    <w:p w14:paraId="0C3EF35C" w14:textId="77777777" w:rsidR="00C446CA" w:rsidRPr="00622E9B" w:rsidRDefault="00C446CA" w:rsidP="00C446CA">
      <w:pPr>
        <w:pStyle w:val="04xlpa"/>
        <w:spacing w:line="285" w:lineRule="atLeast"/>
        <w:jc w:val="both"/>
        <w:rPr>
          <w:rFonts w:ascii="Arial" w:hAnsi="Arial" w:cs="Arial"/>
          <w:color w:val="000000" w:themeColor="text1"/>
        </w:rPr>
      </w:pPr>
      <w:r w:rsidRPr="00622E9B">
        <w:rPr>
          <w:rStyle w:val="jsgrdq"/>
          <w:rFonts w:ascii="Arial" w:hAnsi="Arial" w:cs="Arial"/>
          <w:color w:val="000000" w:themeColor="text1"/>
        </w:rPr>
        <w:t>NB : les entreprises nouvellement créées, ou celles dont l’effectif a atteint le seuil de 20 salariés, ont un délai de cinq ans avant d’être soumises à cette obligation (art. L.5212-4).</w:t>
      </w:r>
    </w:p>
    <w:p w14:paraId="660AC95E" w14:textId="77777777" w:rsidR="00C446CA" w:rsidRPr="00622E9B" w:rsidRDefault="00C446CA" w:rsidP="00C446CA">
      <w:pPr>
        <w:pStyle w:val="04xlpa"/>
        <w:spacing w:line="285" w:lineRule="atLeast"/>
        <w:jc w:val="both"/>
        <w:rPr>
          <w:rFonts w:ascii="Arial" w:hAnsi="Arial" w:cs="Arial"/>
          <w:color w:val="000000" w:themeColor="text1"/>
        </w:rPr>
      </w:pPr>
      <w:r w:rsidRPr="00622E9B">
        <w:rPr>
          <w:rStyle w:val="jsgrdq"/>
          <w:rFonts w:ascii="Arial" w:hAnsi="Arial" w:cs="Arial"/>
          <w:color w:val="000000" w:themeColor="text1"/>
        </w:rPr>
        <w:t>NB 2 : dans les entreprises à établissements multiples, l’obligation d’emploi s’applique au niveau de l’entreprise (art. L.5212-3 Code du travail).</w:t>
      </w:r>
    </w:p>
    <w:p w14:paraId="46DBF6C9" w14:textId="77777777" w:rsidR="00C446CA" w:rsidRPr="00622E9B" w:rsidRDefault="00C446CA" w:rsidP="00C446CA">
      <w:pPr>
        <w:pStyle w:val="04xlpa"/>
        <w:spacing w:line="285" w:lineRule="atLeast"/>
        <w:jc w:val="both"/>
        <w:rPr>
          <w:rFonts w:ascii="Arial" w:hAnsi="Arial" w:cs="Arial"/>
          <w:color w:val="000000" w:themeColor="text1"/>
        </w:rPr>
      </w:pPr>
      <w:r w:rsidRPr="00622E9B">
        <w:rPr>
          <w:rStyle w:val="jsgrdq"/>
          <w:rFonts w:ascii="Arial" w:hAnsi="Arial" w:cs="Arial"/>
          <w:color w:val="000000" w:themeColor="text1"/>
        </w:rPr>
        <w:t>En cas de non-respect de cette obligation d’emploi, l’employeur doit verser</w:t>
      </w:r>
      <w:r w:rsidRPr="00622E9B">
        <w:rPr>
          <w:rStyle w:val="apple-converted-space"/>
          <w:rFonts w:ascii="Arial" w:hAnsi="Arial" w:cs="Arial"/>
          <w:color w:val="000000" w:themeColor="text1"/>
        </w:rPr>
        <w:t> </w:t>
      </w:r>
      <w:r w:rsidRPr="00622E9B">
        <w:rPr>
          <w:rStyle w:val="jsgrdq"/>
          <w:rFonts w:ascii="Arial" w:hAnsi="Arial" w:cs="Arial"/>
          <w:color w:val="000000" w:themeColor="text1"/>
        </w:rPr>
        <w:t>une contribution à l’AGEFIPH</w:t>
      </w:r>
      <w:r w:rsidRPr="00622E9B">
        <w:rPr>
          <w:rStyle w:val="apple-converted-space"/>
          <w:rFonts w:ascii="Arial" w:hAnsi="Arial" w:cs="Arial"/>
          <w:color w:val="000000" w:themeColor="text1"/>
        </w:rPr>
        <w:t> </w:t>
      </w:r>
      <w:r w:rsidRPr="00622E9B">
        <w:rPr>
          <w:rStyle w:val="jsgrdq"/>
          <w:rFonts w:ascii="Arial" w:hAnsi="Arial" w:cs="Arial"/>
          <w:color w:val="000000" w:themeColor="text1"/>
        </w:rPr>
        <w:t>(pour le secteur privé)</w:t>
      </w:r>
      <w:r w:rsidRPr="00622E9B">
        <w:rPr>
          <w:rStyle w:val="apple-converted-space"/>
          <w:rFonts w:ascii="Arial" w:hAnsi="Arial" w:cs="Arial"/>
          <w:color w:val="000000" w:themeColor="text1"/>
        </w:rPr>
        <w:t> </w:t>
      </w:r>
      <w:r w:rsidRPr="00622E9B">
        <w:rPr>
          <w:rStyle w:val="jsgrdq"/>
          <w:rFonts w:ascii="Arial" w:hAnsi="Arial" w:cs="Arial"/>
          <w:color w:val="000000" w:themeColor="text1"/>
        </w:rPr>
        <w:t>ou au FIPHGP</w:t>
      </w:r>
      <w:r w:rsidRPr="00622E9B">
        <w:rPr>
          <w:rStyle w:val="apple-converted-space"/>
          <w:rFonts w:ascii="Arial" w:hAnsi="Arial" w:cs="Arial"/>
          <w:color w:val="000000" w:themeColor="text1"/>
        </w:rPr>
        <w:t> </w:t>
      </w:r>
      <w:r w:rsidRPr="00622E9B">
        <w:rPr>
          <w:rStyle w:val="jsgrdq"/>
          <w:rFonts w:ascii="Arial" w:hAnsi="Arial" w:cs="Arial"/>
          <w:color w:val="000000" w:themeColor="text1"/>
        </w:rPr>
        <w:t>(pour le secteur public).</w:t>
      </w:r>
    </w:p>
    <w:p w14:paraId="7F975C7A" w14:textId="77777777" w:rsidR="00C446CA" w:rsidRPr="00622E9B" w:rsidRDefault="00C446CA" w:rsidP="00C446CA">
      <w:pPr>
        <w:pStyle w:val="04xlpa"/>
        <w:spacing w:line="285" w:lineRule="atLeast"/>
        <w:jc w:val="both"/>
        <w:rPr>
          <w:rFonts w:ascii="Arial" w:hAnsi="Arial" w:cs="Arial"/>
          <w:color w:val="000000" w:themeColor="text1"/>
        </w:rPr>
      </w:pPr>
      <w:r w:rsidRPr="00622E9B">
        <w:rPr>
          <w:rStyle w:val="jsgrdq"/>
          <w:rFonts w:ascii="Arial" w:hAnsi="Arial" w:cs="Arial"/>
          <w:color w:val="000000" w:themeColor="text1"/>
        </w:rPr>
        <w:t>En outre, tous les établissements, quelle que soit leur taille, doivent</w:t>
      </w:r>
      <w:r w:rsidRPr="00622E9B">
        <w:rPr>
          <w:rStyle w:val="apple-converted-space"/>
          <w:rFonts w:ascii="Arial" w:hAnsi="Arial" w:cs="Arial"/>
          <w:color w:val="000000" w:themeColor="text1"/>
        </w:rPr>
        <w:t> </w:t>
      </w:r>
      <w:r w:rsidRPr="00622E9B">
        <w:rPr>
          <w:rStyle w:val="jsgrdq"/>
          <w:rFonts w:ascii="Arial" w:hAnsi="Arial" w:cs="Arial"/>
          <w:color w:val="000000" w:themeColor="text1"/>
        </w:rPr>
        <w:t>déclarer mensuellement</w:t>
      </w:r>
      <w:r w:rsidRPr="00622E9B">
        <w:rPr>
          <w:rStyle w:val="apple-converted-space"/>
          <w:rFonts w:ascii="Arial" w:hAnsi="Arial" w:cs="Arial"/>
          <w:color w:val="000000" w:themeColor="text1"/>
        </w:rPr>
        <w:t> </w:t>
      </w:r>
      <w:r w:rsidRPr="00622E9B">
        <w:rPr>
          <w:rStyle w:val="jsgrdq"/>
          <w:rFonts w:ascii="Arial" w:hAnsi="Arial" w:cs="Arial"/>
          <w:color w:val="000000" w:themeColor="text1"/>
        </w:rPr>
        <w:t>le nombre d’emplois occupés par un travailleur en situation de handicap.</w:t>
      </w:r>
    </w:p>
    <w:p w14:paraId="3D907A7C" w14:textId="77BD1EBD" w:rsidR="00C446CA" w:rsidRPr="00622E9B" w:rsidRDefault="00C446CA" w:rsidP="00C446CA">
      <w:pPr>
        <w:pStyle w:val="04xlpa"/>
        <w:spacing w:line="285" w:lineRule="atLeast"/>
        <w:jc w:val="both"/>
        <w:rPr>
          <w:rFonts w:ascii="Arial" w:hAnsi="Arial" w:cs="Arial"/>
          <w:color w:val="000000" w:themeColor="text1"/>
        </w:rPr>
      </w:pPr>
      <w:r w:rsidRPr="00622E9B">
        <w:rPr>
          <w:rStyle w:val="jsgrdq"/>
          <w:rFonts w:ascii="Arial" w:hAnsi="Arial" w:cs="Arial"/>
          <w:color w:val="000000" w:themeColor="text1"/>
        </w:rPr>
        <w:t>Quant aux entreprises de 20 salariés et plus, elles doivent effectuer une</w:t>
      </w:r>
      <w:r w:rsidRPr="00622E9B">
        <w:rPr>
          <w:rStyle w:val="apple-converted-space"/>
          <w:rFonts w:ascii="Arial" w:hAnsi="Arial" w:cs="Arial"/>
          <w:color w:val="000000" w:themeColor="text1"/>
        </w:rPr>
        <w:t> </w:t>
      </w:r>
      <w:r w:rsidRPr="00622E9B">
        <w:rPr>
          <w:rStyle w:val="jsgrdq"/>
          <w:rFonts w:ascii="Arial" w:hAnsi="Arial" w:cs="Arial"/>
          <w:color w:val="000000" w:themeColor="text1"/>
        </w:rPr>
        <w:t>déclaration annuelle</w:t>
      </w:r>
      <w:r w:rsidRPr="00622E9B">
        <w:rPr>
          <w:rStyle w:val="apple-converted-space"/>
          <w:rFonts w:ascii="Arial" w:hAnsi="Arial" w:cs="Arial"/>
          <w:color w:val="000000" w:themeColor="text1"/>
        </w:rPr>
        <w:t> </w:t>
      </w:r>
      <w:r w:rsidRPr="00622E9B">
        <w:rPr>
          <w:rStyle w:val="jsgrdq"/>
          <w:rFonts w:ascii="Arial" w:hAnsi="Arial" w:cs="Arial"/>
          <w:color w:val="000000" w:themeColor="text1"/>
        </w:rPr>
        <w:t>pour justifier le respect de leur obligation d’emploi. A défaut de déclaration, l’employeur est considéré comme ne satisfaisant pas à l’obligation d’emploi (art. L.5212-5 du CDT).</w:t>
      </w:r>
    </w:p>
    <w:p w14:paraId="6AB7B4BF" w14:textId="3EE6E606" w:rsidR="00C446CA" w:rsidRPr="0080414B" w:rsidRDefault="00C446CA" w:rsidP="00C446CA">
      <w:pPr>
        <w:pStyle w:val="Titre2"/>
        <w:jc w:val="both"/>
      </w:pPr>
      <w:r>
        <w:t>Les services d’aide par le travail (ESAT) et les entreprises adaptées</w:t>
      </w:r>
    </w:p>
    <w:p w14:paraId="6B2A8413" w14:textId="77777777" w:rsidR="00C446CA" w:rsidRPr="00C446CA" w:rsidRDefault="00C446CA" w:rsidP="00C446CA">
      <w:pPr>
        <w:numPr>
          <w:ilvl w:val="0"/>
          <w:numId w:val="4"/>
        </w:num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C446CA">
        <w:rPr>
          <w:rFonts w:ascii="Arial" w:eastAsia="Times New Roman" w:hAnsi="Arial" w:cs="Arial"/>
          <w:color w:val="000000" w:themeColor="text1"/>
          <w:sz w:val="24"/>
          <w:szCs w:val="24"/>
          <w:lang w:eastAsia="fr-FR"/>
        </w:rPr>
        <w:t>Un établissement ou service d’aide par le travail (ESAT) est un établissement médico-social offrant à des personnes en situation de handicap, ayant une capacité de travail réduite, des activités à caractère professionnel et un soutien médico-social et éducatif en vue de favoriser leur autonomie ainsi que leur épanouissement personnel et social. Les ESAT sont régis par le Code de l'action sociale et de la famille.</w:t>
      </w:r>
    </w:p>
    <w:p w14:paraId="5919B461" w14:textId="77777777" w:rsidR="00C446CA" w:rsidRPr="00C446CA" w:rsidRDefault="00C446CA" w:rsidP="00C446CA">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C446CA">
        <w:rPr>
          <w:rFonts w:ascii="Arial" w:eastAsia="Times New Roman" w:hAnsi="Arial" w:cs="Arial"/>
          <w:color w:val="000000" w:themeColor="text1"/>
          <w:sz w:val="24"/>
          <w:szCs w:val="24"/>
          <w:lang w:eastAsia="fr-FR"/>
        </w:rPr>
        <w:t xml:space="preserve">Les entreprises adaptées sont des entreprises d'utilité sociale qui ont une obligation d’employer 80% de travailleurs en situation de handicap. Elles sont régies par le Code du travail, ce qui a une incidence sur les modalités d’emploi, comme par exemple, l’obligation de rémunérer les salariés </w:t>
      </w:r>
      <w:r w:rsidRPr="00C446CA">
        <w:rPr>
          <w:rFonts w:ascii="Times New Roman" w:eastAsia="Times New Roman" w:hAnsi="Times New Roman" w:cs="Times New Roman"/>
          <w:color w:val="FFFFFF"/>
          <w:sz w:val="24"/>
          <w:szCs w:val="24"/>
          <w:lang w:eastAsia="fr-FR"/>
        </w:rPr>
        <w:t>au moins au SMIC.</w:t>
      </w:r>
    </w:p>
    <w:p w14:paraId="595093D1" w14:textId="17B943C3" w:rsidR="00C446CA" w:rsidRPr="0080414B" w:rsidRDefault="00C446CA" w:rsidP="00C446CA">
      <w:pPr>
        <w:pStyle w:val="Titre2"/>
        <w:jc w:val="both"/>
      </w:pPr>
      <w:r>
        <w:lastRenderedPageBreak/>
        <w:t>Comment s’acquitter de son obligation d’emploi</w:t>
      </w:r>
      <w:r w:rsidRPr="0080414B">
        <w:t xml:space="preserve"> ?</w:t>
      </w:r>
    </w:p>
    <w:p w14:paraId="4BB1522D" w14:textId="77777777" w:rsidR="00C446CA" w:rsidRPr="00C446CA" w:rsidRDefault="00C446CA" w:rsidP="00C446CA">
      <w:pPr>
        <w:spacing w:before="100" w:beforeAutospacing="1" w:after="100" w:afterAutospacing="1" w:line="285" w:lineRule="atLeast"/>
        <w:jc w:val="both"/>
        <w:rPr>
          <w:rFonts w:ascii="Arial" w:eastAsia="Times New Roman" w:hAnsi="Arial" w:cs="Arial"/>
          <w:color w:val="000000" w:themeColor="text1"/>
          <w:sz w:val="24"/>
          <w:szCs w:val="24"/>
          <w:lang w:eastAsia="fr-FR"/>
        </w:rPr>
      </w:pPr>
      <w:r w:rsidRPr="00C446CA">
        <w:rPr>
          <w:rFonts w:ascii="Arial" w:eastAsia="Times New Roman" w:hAnsi="Arial" w:cs="Arial"/>
          <w:color w:val="000000" w:themeColor="text1"/>
          <w:sz w:val="24"/>
          <w:szCs w:val="24"/>
          <w:lang w:eastAsia="fr-FR"/>
        </w:rPr>
        <w:t>Les établissements disposent de trois modalités pour s’acquitter de cette obligation d’emploi (art. L.5212-7 ; L.5212-8 ; L.5212-9 Code du travail) :</w:t>
      </w:r>
    </w:p>
    <w:p w14:paraId="6CAA60CC" w14:textId="77777777" w:rsidR="00C446CA" w:rsidRPr="00C446CA" w:rsidRDefault="00C446CA" w:rsidP="00C446CA">
      <w:pPr>
        <w:numPr>
          <w:ilvl w:val="0"/>
          <w:numId w:val="6"/>
        </w:num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C446CA">
        <w:rPr>
          <w:rFonts w:ascii="Arial" w:eastAsia="Times New Roman" w:hAnsi="Arial" w:cs="Arial"/>
          <w:color w:val="000000" w:themeColor="text1"/>
          <w:sz w:val="24"/>
          <w:szCs w:val="24"/>
          <w:lang w:eastAsia="fr-FR"/>
        </w:rPr>
        <w:t>l’emploi de travailleurs handicapés quel que soit la durée et la nature contrat de travail (art. L.5212-6) et peut notamment s’acquitter de son obligation par :</w:t>
      </w:r>
    </w:p>
    <w:p w14:paraId="5F506F8A" w14:textId="77777777" w:rsidR="00C446CA" w:rsidRPr="00C446CA" w:rsidRDefault="00C446CA" w:rsidP="00C446CA">
      <w:pPr>
        <w:numPr>
          <w:ilvl w:val="1"/>
          <w:numId w:val="6"/>
        </w:num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C446CA">
        <w:rPr>
          <w:rFonts w:ascii="Arial" w:eastAsia="Times New Roman" w:hAnsi="Arial" w:cs="Arial"/>
          <w:color w:val="000000" w:themeColor="text1"/>
          <w:sz w:val="24"/>
          <w:szCs w:val="24"/>
          <w:lang w:eastAsia="fr-FR"/>
        </w:rPr>
        <w:t>recrutement en CDD et CDI</w:t>
      </w:r>
    </w:p>
    <w:p w14:paraId="2BD3DDAC" w14:textId="77777777" w:rsidR="00C446CA" w:rsidRPr="00C446CA" w:rsidRDefault="00C446CA" w:rsidP="00C446CA">
      <w:pPr>
        <w:numPr>
          <w:ilvl w:val="1"/>
          <w:numId w:val="6"/>
        </w:num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C446CA">
        <w:rPr>
          <w:rFonts w:ascii="Arial" w:eastAsia="Times New Roman" w:hAnsi="Arial" w:cs="Arial"/>
          <w:color w:val="000000" w:themeColor="text1"/>
          <w:sz w:val="24"/>
          <w:szCs w:val="24"/>
          <w:lang w:eastAsia="fr-FR"/>
        </w:rPr>
        <w:t>accueil en stage</w:t>
      </w:r>
    </w:p>
    <w:p w14:paraId="79EBCF78" w14:textId="77777777" w:rsidR="00C446CA" w:rsidRPr="00C446CA" w:rsidRDefault="00C446CA" w:rsidP="00C446CA">
      <w:pPr>
        <w:numPr>
          <w:ilvl w:val="1"/>
          <w:numId w:val="6"/>
        </w:num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C446CA">
        <w:rPr>
          <w:rFonts w:ascii="Arial" w:eastAsia="Times New Roman" w:hAnsi="Arial" w:cs="Arial"/>
          <w:color w:val="000000" w:themeColor="text1"/>
          <w:sz w:val="24"/>
          <w:szCs w:val="24"/>
          <w:lang w:eastAsia="fr-FR"/>
        </w:rPr>
        <w:t>période de mise en situation en milieu professionnel</w:t>
      </w:r>
    </w:p>
    <w:p w14:paraId="66833371" w14:textId="77777777" w:rsidR="00C446CA" w:rsidRPr="00C446CA" w:rsidRDefault="00C446CA" w:rsidP="00C446CA">
      <w:pPr>
        <w:numPr>
          <w:ilvl w:val="1"/>
          <w:numId w:val="6"/>
        </w:num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C446CA">
        <w:rPr>
          <w:rFonts w:ascii="Arial" w:eastAsia="Times New Roman" w:hAnsi="Arial" w:cs="Arial"/>
          <w:color w:val="000000" w:themeColor="text1"/>
          <w:sz w:val="24"/>
          <w:szCs w:val="24"/>
          <w:lang w:eastAsia="fr-FR"/>
        </w:rPr>
        <w:t>en employant les personnes par les entreprises de travail temporaire et par les groupements d’employeurs</w:t>
      </w:r>
    </w:p>
    <w:p w14:paraId="525951D6" w14:textId="17021054" w:rsidR="00C446CA" w:rsidRPr="00C446CA" w:rsidRDefault="00C446CA" w:rsidP="00C446CA">
      <w:pPr>
        <w:numPr>
          <w:ilvl w:val="0"/>
          <w:numId w:val="7"/>
        </w:num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C446CA">
        <w:rPr>
          <w:rFonts w:ascii="Arial" w:eastAsia="Times New Roman" w:hAnsi="Arial" w:cs="Arial"/>
          <w:color w:val="000000" w:themeColor="text1"/>
          <w:sz w:val="24"/>
          <w:szCs w:val="24"/>
          <w:lang w:eastAsia="fr-FR"/>
        </w:rPr>
        <w:t xml:space="preserve">la signature d’un accord de branche, de groupe ou d’entreprise agréé prévoyant la mise en </w:t>
      </w:r>
      <w:r w:rsidRPr="00622E9B">
        <w:rPr>
          <w:rFonts w:ascii="Arial" w:eastAsia="Times New Roman" w:hAnsi="Arial" w:cs="Arial"/>
          <w:color w:val="000000" w:themeColor="text1"/>
          <w:sz w:val="24"/>
          <w:szCs w:val="24"/>
          <w:lang w:eastAsia="fr-FR"/>
        </w:rPr>
        <w:t>œuvre</w:t>
      </w:r>
      <w:r w:rsidRPr="00C446CA">
        <w:rPr>
          <w:rFonts w:ascii="Arial" w:eastAsia="Times New Roman" w:hAnsi="Arial" w:cs="Arial"/>
          <w:color w:val="000000" w:themeColor="text1"/>
          <w:sz w:val="24"/>
          <w:szCs w:val="24"/>
          <w:lang w:eastAsia="fr-FR"/>
        </w:rPr>
        <w:t xml:space="preserve"> d’un programme pluriannuel en faveur de l’emploi des travailleurs handicapés pour une durée maximale de trois ans, renouvelable une fois</w:t>
      </w:r>
    </w:p>
    <w:p w14:paraId="47A56C23" w14:textId="77777777" w:rsidR="00C446CA" w:rsidRPr="00C446CA" w:rsidRDefault="00C446CA" w:rsidP="00C446CA">
      <w:pPr>
        <w:numPr>
          <w:ilvl w:val="0"/>
          <w:numId w:val="8"/>
        </w:num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C446CA">
        <w:rPr>
          <w:rFonts w:ascii="Arial" w:eastAsia="Times New Roman" w:hAnsi="Arial" w:cs="Arial"/>
          <w:color w:val="000000" w:themeColor="text1"/>
          <w:sz w:val="24"/>
          <w:szCs w:val="24"/>
          <w:lang w:eastAsia="fr-FR"/>
        </w:rPr>
        <w:t>le versement d’une contribution financière annuelle pour chaque bénéficiaire manquant à l’AGEFIPH ou au FIPHFP</w:t>
      </w:r>
    </w:p>
    <w:p w14:paraId="32A12B4B" w14:textId="3BEDDFE4" w:rsidR="00C446CA" w:rsidRPr="0080414B" w:rsidRDefault="00C446CA" w:rsidP="00C446CA">
      <w:pPr>
        <w:pStyle w:val="Titre2"/>
      </w:pPr>
      <w:r>
        <w:t>Quels sont les bénéficiaires</w:t>
      </w:r>
      <w:r w:rsidRPr="0080414B">
        <w:t xml:space="preserve"> ? </w:t>
      </w:r>
    </w:p>
    <w:p w14:paraId="7FF46230" w14:textId="77777777" w:rsidR="00C446CA" w:rsidRPr="00622E9B" w:rsidRDefault="00C446CA" w:rsidP="00C446CA">
      <w:pPr>
        <w:pStyle w:val="04xlpa"/>
        <w:spacing w:line="285" w:lineRule="atLeast"/>
        <w:jc w:val="both"/>
        <w:rPr>
          <w:rFonts w:ascii="Arial" w:hAnsi="Arial" w:cs="Arial"/>
          <w:color w:val="000000" w:themeColor="text1"/>
        </w:rPr>
      </w:pPr>
      <w:r w:rsidRPr="00622E9B">
        <w:rPr>
          <w:rStyle w:val="jsgrdq"/>
          <w:rFonts w:ascii="Arial" w:hAnsi="Arial" w:cs="Arial"/>
          <w:color w:val="000000" w:themeColor="text1"/>
        </w:rPr>
        <w:t>L’article L. 5212-13 du Code du travail énonce les différents bénéficiaires de l’obligation d’emploi.</w:t>
      </w:r>
      <w:r w:rsidRPr="00622E9B">
        <w:rPr>
          <w:rStyle w:val="apple-converted-space"/>
          <w:rFonts w:ascii="Arial" w:hAnsi="Arial" w:cs="Arial"/>
          <w:color w:val="000000" w:themeColor="text1"/>
        </w:rPr>
        <w:t> </w:t>
      </w:r>
      <w:r w:rsidRPr="00622E9B">
        <w:rPr>
          <w:rStyle w:val="jsgrdq"/>
          <w:rFonts w:ascii="Arial" w:hAnsi="Arial" w:cs="Arial"/>
          <w:color w:val="000000" w:themeColor="text1"/>
          <w:u w:val="single"/>
        </w:rPr>
        <w:t>Sont bénéficiaires:</w:t>
      </w:r>
    </w:p>
    <w:p w14:paraId="5D67BF5A" w14:textId="77777777" w:rsidR="00C446CA" w:rsidRPr="00622E9B" w:rsidRDefault="00C446CA" w:rsidP="00C446CA">
      <w:pPr>
        <w:numPr>
          <w:ilvl w:val="0"/>
          <w:numId w:val="9"/>
        </w:numPr>
        <w:spacing w:before="100" w:beforeAutospacing="1" w:after="100" w:afterAutospacing="1" w:line="240" w:lineRule="auto"/>
        <w:jc w:val="both"/>
        <w:rPr>
          <w:rFonts w:ascii="Arial" w:hAnsi="Arial" w:cs="Arial"/>
          <w:color w:val="000000" w:themeColor="text1"/>
          <w:sz w:val="24"/>
          <w:szCs w:val="24"/>
        </w:rPr>
      </w:pPr>
      <w:r w:rsidRPr="00622E9B">
        <w:rPr>
          <w:rStyle w:val="jsgrdq"/>
          <w:rFonts w:ascii="Arial" w:hAnsi="Arial" w:cs="Arial"/>
          <w:color w:val="000000" w:themeColor="text1"/>
          <w:sz w:val="24"/>
          <w:szCs w:val="24"/>
        </w:rPr>
        <w:t>Les travailleurs</w:t>
      </w:r>
      <w:r w:rsidRPr="00622E9B">
        <w:rPr>
          <w:rStyle w:val="apple-converted-space"/>
          <w:rFonts w:ascii="Arial" w:hAnsi="Arial" w:cs="Arial"/>
          <w:color w:val="000000" w:themeColor="text1"/>
          <w:sz w:val="24"/>
          <w:szCs w:val="24"/>
        </w:rPr>
        <w:t> </w:t>
      </w:r>
      <w:r w:rsidRPr="00622E9B">
        <w:rPr>
          <w:rStyle w:val="jsgrdq"/>
          <w:rFonts w:ascii="Arial" w:hAnsi="Arial" w:cs="Arial"/>
          <w:color w:val="000000" w:themeColor="text1"/>
          <w:sz w:val="24"/>
          <w:szCs w:val="24"/>
        </w:rPr>
        <w:t>reconnus handicapés par la commission des droits et de l'autonomie des personnes handicapées</w:t>
      </w:r>
    </w:p>
    <w:p w14:paraId="7024B988" w14:textId="77777777" w:rsidR="00C446CA" w:rsidRPr="00622E9B" w:rsidRDefault="00C446CA" w:rsidP="00C446CA">
      <w:pPr>
        <w:numPr>
          <w:ilvl w:val="0"/>
          <w:numId w:val="9"/>
        </w:numPr>
        <w:spacing w:before="100" w:beforeAutospacing="1" w:after="100" w:afterAutospacing="1" w:line="240" w:lineRule="auto"/>
        <w:jc w:val="both"/>
        <w:rPr>
          <w:rFonts w:ascii="Arial" w:hAnsi="Arial" w:cs="Arial"/>
          <w:color w:val="000000" w:themeColor="text1"/>
          <w:sz w:val="24"/>
          <w:szCs w:val="24"/>
        </w:rPr>
      </w:pPr>
      <w:r w:rsidRPr="00622E9B">
        <w:rPr>
          <w:rStyle w:val="jsgrdq"/>
          <w:rFonts w:ascii="Arial" w:hAnsi="Arial" w:cs="Arial"/>
          <w:color w:val="000000" w:themeColor="text1"/>
          <w:sz w:val="24"/>
          <w:szCs w:val="24"/>
        </w:rPr>
        <w:t>Les</w:t>
      </w:r>
      <w:r w:rsidRPr="00622E9B">
        <w:rPr>
          <w:rStyle w:val="apple-converted-space"/>
          <w:rFonts w:ascii="Arial" w:hAnsi="Arial" w:cs="Arial"/>
          <w:color w:val="000000" w:themeColor="text1"/>
          <w:sz w:val="24"/>
          <w:szCs w:val="24"/>
        </w:rPr>
        <w:t> </w:t>
      </w:r>
      <w:r w:rsidRPr="00622E9B">
        <w:rPr>
          <w:rStyle w:val="jsgrdq"/>
          <w:rFonts w:ascii="Arial" w:hAnsi="Arial" w:cs="Arial"/>
          <w:color w:val="000000" w:themeColor="text1"/>
          <w:sz w:val="24"/>
          <w:szCs w:val="24"/>
        </w:rPr>
        <w:t>victimes d'accidents du travail ou de maladies professionnelles ayant entraîné une incapacité permanente au moins égale à 10 % et titulaires d'une rente</w:t>
      </w:r>
      <w:r w:rsidRPr="00622E9B">
        <w:rPr>
          <w:rStyle w:val="apple-converted-space"/>
          <w:rFonts w:ascii="Arial" w:hAnsi="Arial" w:cs="Arial"/>
          <w:color w:val="000000" w:themeColor="text1"/>
          <w:sz w:val="24"/>
          <w:szCs w:val="24"/>
        </w:rPr>
        <w:t> </w:t>
      </w:r>
      <w:r w:rsidRPr="00622E9B">
        <w:rPr>
          <w:rStyle w:val="jsgrdq"/>
          <w:rFonts w:ascii="Arial" w:hAnsi="Arial" w:cs="Arial"/>
          <w:color w:val="000000" w:themeColor="text1"/>
          <w:sz w:val="24"/>
          <w:szCs w:val="24"/>
        </w:rPr>
        <w:t>attribuée au titre du régime général de sécurité sociale ou de tout autre régime de protection sociale obligatoire</w:t>
      </w:r>
    </w:p>
    <w:p w14:paraId="4BEE8E71" w14:textId="77777777" w:rsidR="00C446CA" w:rsidRPr="00622E9B" w:rsidRDefault="00C446CA" w:rsidP="00C446CA">
      <w:pPr>
        <w:numPr>
          <w:ilvl w:val="0"/>
          <w:numId w:val="9"/>
        </w:numPr>
        <w:spacing w:before="100" w:beforeAutospacing="1" w:after="100" w:afterAutospacing="1" w:line="240" w:lineRule="auto"/>
        <w:jc w:val="both"/>
        <w:rPr>
          <w:rFonts w:ascii="Arial" w:hAnsi="Arial" w:cs="Arial"/>
          <w:color w:val="000000" w:themeColor="text1"/>
          <w:sz w:val="24"/>
          <w:szCs w:val="24"/>
        </w:rPr>
      </w:pPr>
      <w:r w:rsidRPr="00622E9B">
        <w:rPr>
          <w:rStyle w:val="jsgrdq"/>
          <w:rFonts w:ascii="Arial" w:hAnsi="Arial" w:cs="Arial"/>
          <w:color w:val="000000" w:themeColor="text1"/>
          <w:sz w:val="24"/>
          <w:szCs w:val="24"/>
        </w:rPr>
        <w:t>Les</w:t>
      </w:r>
      <w:r w:rsidRPr="00622E9B">
        <w:rPr>
          <w:rStyle w:val="apple-converted-space"/>
          <w:rFonts w:ascii="Arial" w:hAnsi="Arial" w:cs="Arial"/>
          <w:color w:val="000000" w:themeColor="text1"/>
          <w:sz w:val="24"/>
          <w:szCs w:val="24"/>
        </w:rPr>
        <w:t> </w:t>
      </w:r>
      <w:r w:rsidRPr="00622E9B">
        <w:rPr>
          <w:rStyle w:val="jsgrdq"/>
          <w:rFonts w:ascii="Arial" w:hAnsi="Arial" w:cs="Arial"/>
          <w:color w:val="000000" w:themeColor="text1"/>
          <w:sz w:val="24"/>
          <w:szCs w:val="24"/>
        </w:rPr>
        <w:t>titulaires d'une pension d'invalidité</w:t>
      </w:r>
      <w:r w:rsidRPr="00622E9B">
        <w:rPr>
          <w:rStyle w:val="apple-converted-space"/>
          <w:rFonts w:ascii="Arial" w:hAnsi="Arial" w:cs="Arial"/>
          <w:color w:val="000000" w:themeColor="text1"/>
          <w:sz w:val="24"/>
          <w:szCs w:val="24"/>
        </w:rPr>
        <w:t> </w:t>
      </w:r>
      <w:r w:rsidRPr="00622E9B">
        <w:rPr>
          <w:rStyle w:val="jsgrdq"/>
          <w:rFonts w:ascii="Arial" w:hAnsi="Arial" w:cs="Arial"/>
          <w:color w:val="000000" w:themeColor="text1"/>
          <w:sz w:val="24"/>
          <w:szCs w:val="24"/>
        </w:rPr>
        <w:t>attribuée au titre du régime général de sécurité sociale, de tout autre régime de protection sociale obligatoire ou au titre des dispositions régissant les agents publics à condition que l'invalidité des intéressés réduise au moins des deux tiers leur capacité de travail ou de gain</w:t>
      </w:r>
    </w:p>
    <w:p w14:paraId="19DB5E98" w14:textId="77777777" w:rsidR="00C446CA" w:rsidRPr="00622E9B" w:rsidRDefault="00C446CA" w:rsidP="00C446CA">
      <w:pPr>
        <w:numPr>
          <w:ilvl w:val="0"/>
          <w:numId w:val="9"/>
        </w:numPr>
        <w:spacing w:before="100" w:beforeAutospacing="1" w:after="100" w:afterAutospacing="1" w:line="240" w:lineRule="auto"/>
        <w:jc w:val="both"/>
        <w:rPr>
          <w:rFonts w:ascii="Arial" w:hAnsi="Arial" w:cs="Arial"/>
          <w:color w:val="000000" w:themeColor="text1"/>
          <w:sz w:val="24"/>
          <w:szCs w:val="24"/>
        </w:rPr>
      </w:pPr>
      <w:r w:rsidRPr="00622E9B">
        <w:rPr>
          <w:rStyle w:val="jsgrdq"/>
          <w:rFonts w:ascii="Arial" w:hAnsi="Arial" w:cs="Arial"/>
          <w:color w:val="000000" w:themeColor="text1"/>
          <w:sz w:val="24"/>
          <w:szCs w:val="24"/>
        </w:rPr>
        <w:t>Les bénéficiaires mentionnés à l'article</w:t>
      </w:r>
      <w:r w:rsidRPr="00622E9B">
        <w:rPr>
          <w:rStyle w:val="apple-converted-space"/>
          <w:rFonts w:ascii="Arial" w:hAnsi="Arial" w:cs="Arial"/>
          <w:color w:val="000000" w:themeColor="text1"/>
          <w:sz w:val="24"/>
          <w:szCs w:val="24"/>
        </w:rPr>
        <w:t> </w:t>
      </w:r>
      <w:hyperlink r:id="rId5" w:tgtFrame="_blank" w:history="1">
        <w:r w:rsidRPr="00622E9B">
          <w:rPr>
            <w:rStyle w:val="Lienhypertexte"/>
            <w:rFonts w:ascii="Arial" w:hAnsi="Arial" w:cs="Arial"/>
            <w:color w:val="000000" w:themeColor="text1"/>
            <w:sz w:val="24"/>
            <w:szCs w:val="24"/>
          </w:rPr>
          <w:t>L. 241-2</w:t>
        </w:r>
        <w:r w:rsidRPr="00622E9B">
          <w:rPr>
            <w:rStyle w:val="apple-converted-space"/>
            <w:rFonts w:ascii="Arial" w:hAnsi="Arial" w:cs="Arial"/>
            <w:color w:val="000000" w:themeColor="text1"/>
            <w:sz w:val="24"/>
            <w:szCs w:val="24"/>
          </w:rPr>
          <w:t> </w:t>
        </w:r>
      </w:hyperlink>
      <w:r w:rsidRPr="00622E9B">
        <w:rPr>
          <w:rStyle w:val="jsgrdq"/>
          <w:rFonts w:ascii="Arial" w:hAnsi="Arial" w:cs="Arial"/>
          <w:color w:val="000000" w:themeColor="text1"/>
          <w:sz w:val="24"/>
          <w:szCs w:val="24"/>
        </w:rPr>
        <w:t>du code des</w:t>
      </w:r>
      <w:r w:rsidRPr="00622E9B">
        <w:rPr>
          <w:rStyle w:val="apple-converted-space"/>
          <w:rFonts w:ascii="Arial" w:hAnsi="Arial" w:cs="Arial"/>
          <w:color w:val="000000" w:themeColor="text1"/>
          <w:sz w:val="24"/>
          <w:szCs w:val="24"/>
        </w:rPr>
        <w:t> </w:t>
      </w:r>
      <w:r w:rsidRPr="00622E9B">
        <w:rPr>
          <w:rStyle w:val="jsgrdq"/>
          <w:rFonts w:ascii="Arial" w:hAnsi="Arial" w:cs="Arial"/>
          <w:color w:val="000000" w:themeColor="text1"/>
          <w:sz w:val="24"/>
          <w:szCs w:val="24"/>
        </w:rPr>
        <w:t>pensions militaires</w:t>
      </w:r>
      <w:r w:rsidRPr="00622E9B">
        <w:rPr>
          <w:rStyle w:val="apple-converted-space"/>
          <w:rFonts w:ascii="Arial" w:hAnsi="Arial" w:cs="Arial"/>
          <w:color w:val="000000" w:themeColor="text1"/>
          <w:sz w:val="24"/>
          <w:szCs w:val="24"/>
        </w:rPr>
        <w:t> </w:t>
      </w:r>
      <w:r w:rsidRPr="00622E9B">
        <w:rPr>
          <w:rStyle w:val="jsgrdq"/>
          <w:rFonts w:ascii="Arial" w:hAnsi="Arial" w:cs="Arial"/>
          <w:color w:val="000000" w:themeColor="text1"/>
          <w:sz w:val="24"/>
          <w:szCs w:val="24"/>
        </w:rPr>
        <w:t>d'invalidité et des victimes de guerre</w:t>
      </w:r>
    </w:p>
    <w:p w14:paraId="0FC8A305" w14:textId="77777777" w:rsidR="00C446CA" w:rsidRPr="00622E9B" w:rsidRDefault="00C446CA" w:rsidP="00C446CA">
      <w:pPr>
        <w:numPr>
          <w:ilvl w:val="0"/>
          <w:numId w:val="9"/>
        </w:numPr>
        <w:spacing w:before="100" w:beforeAutospacing="1" w:after="100" w:afterAutospacing="1" w:line="240" w:lineRule="auto"/>
        <w:jc w:val="both"/>
        <w:rPr>
          <w:rFonts w:ascii="Arial" w:hAnsi="Arial" w:cs="Arial"/>
          <w:color w:val="000000" w:themeColor="text1"/>
          <w:sz w:val="24"/>
          <w:szCs w:val="24"/>
        </w:rPr>
      </w:pPr>
      <w:r w:rsidRPr="00622E9B">
        <w:rPr>
          <w:rStyle w:val="jsgrdq"/>
          <w:rFonts w:ascii="Arial" w:hAnsi="Arial" w:cs="Arial"/>
          <w:color w:val="000000" w:themeColor="text1"/>
          <w:sz w:val="24"/>
          <w:szCs w:val="24"/>
        </w:rPr>
        <w:t>Les bénéficiaires mentionnés aux articles</w:t>
      </w:r>
      <w:r w:rsidRPr="00622E9B">
        <w:rPr>
          <w:rStyle w:val="apple-converted-space"/>
          <w:rFonts w:ascii="Arial" w:hAnsi="Arial" w:cs="Arial"/>
          <w:color w:val="000000" w:themeColor="text1"/>
          <w:sz w:val="24"/>
          <w:szCs w:val="24"/>
        </w:rPr>
        <w:t> </w:t>
      </w:r>
      <w:hyperlink r:id="rId6" w:tgtFrame="_blank" w:history="1">
        <w:r w:rsidRPr="00622E9B">
          <w:rPr>
            <w:rStyle w:val="Lienhypertexte"/>
            <w:rFonts w:ascii="Arial" w:hAnsi="Arial" w:cs="Arial"/>
            <w:color w:val="000000" w:themeColor="text1"/>
            <w:sz w:val="24"/>
            <w:szCs w:val="24"/>
          </w:rPr>
          <w:t>L. 241-3</w:t>
        </w:r>
        <w:r w:rsidRPr="00622E9B">
          <w:rPr>
            <w:rStyle w:val="apple-converted-space"/>
            <w:rFonts w:ascii="Arial" w:hAnsi="Arial" w:cs="Arial"/>
            <w:color w:val="000000" w:themeColor="text1"/>
            <w:sz w:val="24"/>
            <w:szCs w:val="24"/>
          </w:rPr>
          <w:t> </w:t>
        </w:r>
      </w:hyperlink>
      <w:r w:rsidRPr="00622E9B">
        <w:rPr>
          <w:rStyle w:val="jsgrdq"/>
          <w:rFonts w:ascii="Arial" w:hAnsi="Arial" w:cs="Arial"/>
          <w:color w:val="000000" w:themeColor="text1"/>
          <w:sz w:val="24"/>
          <w:szCs w:val="24"/>
        </w:rPr>
        <w:t>et</w:t>
      </w:r>
      <w:r w:rsidRPr="00622E9B">
        <w:rPr>
          <w:rStyle w:val="apple-converted-space"/>
          <w:rFonts w:ascii="Arial" w:hAnsi="Arial" w:cs="Arial"/>
          <w:color w:val="000000" w:themeColor="text1"/>
          <w:sz w:val="24"/>
          <w:szCs w:val="24"/>
        </w:rPr>
        <w:t> </w:t>
      </w:r>
      <w:hyperlink r:id="rId7" w:tgtFrame="_blank" w:history="1">
        <w:r w:rsidRPr="00622E9B">
          <w:rPr>
            <w:rStyle w:val="Lienhypertexte"/>
            <w:rFonts w:ascii="Arial" w:hAnsi="Arial" w:cs="Arial"/>
            <w:color w:val="000000" w:themeColor="text1"/>
            <w:sz w:val="24"/>
            <w:szCs w:val="24"/>
          </w:rPr>
          <w:t>L. 241-4</w:t>
        </w:r>
      </w:hyperlink>
      <w:r w:rsidRPr="00622E9B">
        <w:rPr>
          <w:rStyle w:val="apple-converted-space"/>
          <w:rFonts w:ascii="Arial" w:hAnsi="Arial" w:cs="Arial"/>
          <w:color w:val="000000" w:themeColor="text1"/>
          <w:sz w:val="24"/>
          <w:szCs w:val="24"/>
        </w:rPr>
        <w:t> </w:t>
      </w:r>
      <w:r w:rsidRPr="00622E9B">
        <w:rPr>
          <w:rStyle w:val="jsgrdq"/>
          <w:rFonts w:ascii="Arial" w:hAnsi="Arial" w:cs="Arial"/>
          <w:color w:val="000000" w:themeColor="text1"/>
          <w:sz w:val="24"/>
          <w:szCs w:val="24"/>
        </w:rPr>
        <w:t>du même code</w:t>
      </w:r>
    </w:p>
    <w:p w14:paraId="1F22BA54" w14:textId="77777777" w:rsidR="00C446CA" w:rsidRPr="00622E9B" w:rsidRDefault="00C446CA" w:rsidP="00C446CA">
      <w:pPr>
        <w:numPr>
          <w:ilvl w:val="0"/>
          <w:numId w:val="9"/>
        </w:numPr>
        <w:spacing w:before="100" w:beforeAutospacing="1" w:after="100" w:afterAutospacing="1" w:line="240" w:lineRule="auto"/>
        <w:jc w:val="both"/>
        <w:rPr>
          <w:rFonts w:ascii="Arial" w:hAnsi="Arial" w:cs="Arial"/>
          <w:color w:val="000000" w:themeColor="text1"/>
          <w:sz w:val="24"/>
          <w:szCs w:val="24"/>
        </w:rPr>
      </w:pPr>
      <w:r w:rsidRPr="00622E9B">
        <w:rPr>
          <w:rStyle w:val="jsgrdq"/>
          <w:rFonts w:ascii="Arial" w:hAnsi="Arial" w:cs="Arial"/>
          <w:color w:val="000000" w:themeColor="text1"/>
          <w:sz w:val="24"/>
          <w:szCs w:val="24"/>
        </w:rPr>
        <w:t>Les</w:t>
      </w:r>
      <w:r w:rsidRPr="00622E9B">
        <w:rPr>
          <w:rStyle w:val="apple-converted-space"/>
          <w:rFonts w:ascii="Arial" w:hAnsi="Arial" w:cs="Arial"/>
          <w:color w:val="000000" w:themeColor="text1"/>
          <w:sz w:val="24"/>
          <w:szCs w:val="24"/>
        </w:rPr>
        <w:t> </w:t>
      </w:r>
      <w:r w:rsidRPr="00622E9B">
        <w:rPr>
          <w:rStyle w:val="jsgrdq"/>
          <w:rFonts w:ascii="Arial" w:hAnsi="Arial" w:cs="Arial"/>
          <w:color w:val="000000" w:themeColor="text1"/>
          <w:sz w:val="24"/>
          <w:szCs w:val="24"/>
        </w:rPr>
        <w:t>titulaires d'une allocation ou d'une rente d'invalidité</w:t>
      </w:r>
      <w:r w:rsidRPr="00622E9B">
        <w:rPr>
          <w:rStyle w:val="apple-converted-space"/>
          <w:rFonts w:ascii="Arial" w:hAnsi="Arial" w:cs="Arial"/>
          <w:color w:val="000000" w:themeColor="text1"/>
          <w:sz w:val="24"/>
          <w:szCs w:val="24"/>
        </w:rPr>
        <w:t> </w:t>
      </w:r>
      <w:r w:rsidRPr="00622E9B">
        <w:rPr>
          <w:rStyle w:val="jsgrdq"/>
          <w:rFonts w:ascii="Arial" w:hAnsi="Arial" w:cs="Arial"/>
          <w:color w:val="000000" w:themeColor="text1"/>
          <w:sz w:val="24"/>
          <w:szCs w:val="24"/>
        </w:rPr>
        <w:t>attribuée dans les conditions définies par la loi n° 91-1389 du 31 décembre 1991 relative à la protection sociale des</w:t>
      </w:r>
      <w:r w:rsidRPr="00622E9B">
        <w:rPr>
          <w:rStyle w:val="apple-converted-space"/>
          <w:rFonts w:ascii="Arial" w:hAnsi="Arial" w:cs="Arial"/>
          <w:color w:val="000000" w:themeColor="text1"/>
          <w:sz w:val="24"/>
          <w:szCs w:val="24"/>
        </w:rPr>
        <w:t> </w:t>
      </w:r>
      <w:r w:rsidRPr="00622E9B">
        <w:rPr>
          <w:rStyle w:val="jsgrdq"/>
          <w:rFonts w:ascii="Arial" w:hAnsi="Arial" w:cs="Arial"/>
          <w:color w:val="000000" w:themeColor="text1"/>
          <w:sz w:val="24"/>
          <w:szCs w:val="24"/>
        </w:rPr>
        <w:t>sapeurs-pompiers</w:t>
      </w:r>
      <w:r w:rsidRPr="00622E9B">
        <w:rPr>
          <w:rStyle w:val="apple-converted-space"/>
          <w:rFonts w:ascii="Arial" w:hAnsi="Arial" w:cs="Arial"/>
          <w:color w:val="000000" w:themeColor="text1"/>
          <w:sz w:val="24"/>
          <w:szCs w:val="24"/>
        </w:rPr>
        <w:t> </w:t>
      </w:r>
      <w:r w:rsidRPr="00622E9B">
        <w:rPr>
          <w:rStyle w:val="jsgrdq"/>
          <w:rFonts w:ascii="Arial" w:hAnsi="Arial" w:cs="Arial"/>
          <w:color w:val="000000" w:themeColor="text1"/>
          <w:sz w:val="24"/>
          <w:szCs w:val="24"/>
        </w:rPr>
        <w:t>volontaires en cas d'accident survenu ou de maladie contractée en service</w:t>
      </w:r>
    </w:p>
    <w:p w14:paraId="1252F53F" w14:textId="77777777" w:rsidR="00C446CA" w:rsidRPr="00622E9B" w:rsidRDefault="00C446CA" w:rsidP="00C446CA">
      <w:pPr>
        <w:numPr>
          <w:ilvl w:val="0"/>
          <w:numId w:val="9"/>
        </w:numPr>
        <w:spacing w:before="100" w:beforeAutospacing="1" w:after="100" w:afterAutospacing="1" w:line="240" w:lineRule="auto"/>
        <w:jc w:val="both"/>
        <w:rPr>
          <w:rFonts w:ascii="Arial" w:hAnsi="Arial" w:cs="Arial"/>
          <w:color w:val="000000" w:themeColor="text1"/>
          <w:sz w:val="24"/>
          <w:szCs w:val="24"/>
        </w:rPr>
      </w:pPr>
      <w:r w:rsidRPr="00622E9B">
        <w:rPr>
          <w:rStyle w:val="jsgrdq"/>
          <w:rFonts w:ascii="Arial" w:hAnsi="Arial" w:cs="Arial"/>
          <w:color w:val="000000" w:themeColor="text1"/>
          <w:sz w:val="24"/>
          <w:szCs w:val="24"/>
        </w:rPr>
        <w:t>Les titulaires de la</w:t>
      </w:r>
      <w:r w:rsidRPr="00622E9B">
        <w:rPr>
          <w:rStyle w:val="apple-converted-space"/>
          <w:rFonts w:ascii="Arial" w:hAnsi="Arial" w:cs="Arial"/>
          <w:color w:val="000000" w:themeColor="text1"/>
          <w:sz w:val="24"/>
          <w:szCs w:val="24"/>
        </w:rPr>
        <w:t> </w:t>
      </w:r>
      <w:r w:rsidRPr="00622E9B">
        <w:rPr>
          <w:rStyle w:val="jsgrdq"/>
          <w:rFonts w:ascii="Arial" w:hAnsi="Arial" w:cs="Arial"/>
          <w:color w:val="000000" w:themeColor="text1"/>
          <w:sz w:val="24"/>
          <w:szCs w:val="24"/>
        </w:rPr>
        <w:t>carte “ mobilité inclusion ” portant la mention “ invalidité"</w:t>
      </w:r>
    </w:p>
    <w:p w14:paraId="1397255E" w14:textId="77777777" w:rsidR="00C446CA" w:rsidRPr="00622E9B" w:rsidRDefault="00C446CA" w:rsidP="00C446CA">
      <w:pPr>
        <w:numPr>
          <w:ilvl w:val="0"/>
          <w:numId w:val="9"/>
        </w:numPr>
        <w:spacing w:before="100" w:beforeAutospacing="1" w:after="100" w:afterAutospacing="1" w:line="240" w:lineRule="auto"/>
        <w:jc w:val="both"/>
        <w:rPr>
          <w:rFonts w:ascii="Arial" w:hAnsi="Arial" w:cs="Arial"/>
          <w:color w:val="000000" w:themeColor="text1"/>
          <w:sz w:val="24"/>
          <w:szCs w:val="24"/>
        </w:rPr>
      </w:pPr>
      <w:r w:rsidRPr="00622E9B">
        <w:rPr>
          <w:rStyle w:val="jsgrdq"/>
          <w:rFonts w:ascii="Arial" w:hAnsi="Arial" w:cs="Arial"/>
          <w:color w:val="000000" w:themeColor="text1"/>
          <w:sz w:val="24"/>
          <w:szCs w:val="24"/>
        </w:rPr>
        <w:t>Les</w:t>
      </w:r>
      <w:r w:rsidRPr="00622E9B">
        <w:rPr>
          <w:rStyle w:val="apple-converted-space"/>
          <w:rFonts w:ascii="Arial" w:hAnsi="Arial" w:cs="Arial"/>
          <w:color w:val="000000" w:themeColor="text1"/>
          <w:sz w:val="24"/>
          <w:szCs w:val="24"/>
        </w:rPr>
        <w:t> </w:t>
      </w:r>
      <w:r w:rsidRPr="00622E9B">
        <w:rPr>
          <w:rStyle w:val="jsgrdq"/>
          <w:rFonts w:ascii="Arial" w:hAnsi="Arial" w:cs="Arial"/>
          <w:color w:val="000000" w:themeColor="text1"/>
          <w:sz w:val="24"/>
          <w:szCs w:val="24"/>
        </w:rPr>
        <w:t>titulaires de l'allocation aux adultes handicapés</w:t>
      </w:r>
    </w:p>
    <w:p w14:paraId="57988645" w14:textId="3EA927B4" w:rsidR="00C446CA" w:rsidRPr="0080414B" w:rsidRDefault="00C446CA" w:rsidP="00C446CA">
      <w:pPr>
        <w:pStyle w:val="Titre2"/>
      </w:pPr>
      <w:r>
        <w:lastRenderedPageBreak/>
        <w:t>Secteur public</w:t>
      </w:r>
    </w:p>
    <w:p w14:paraId="1CF24917" w14:textId="77777777" w:rsidR="00C446CA" w:rsidRPr="00C446CA" w:rsidRDefault="00C446CA" w:rsidP="00C446CA">
      <w:pPr>
        <w:spacing w:before="100" w:beforeAutospacing="1" w:after="100" w:afterAutospacing="1" w:line="285" w:lineRule="atLeast"/>
        <w:jc w:val="both"/>
        <w:rPr>
          <w:rFonts w:ascii="Arial" w:eastAsia="Times New Roman" w:hAnsi="Arial" w:cs="Arial"/>
          <w:color w:val="000000" w:themeColor="text1"/>
          <w:sz w:val="24"/>
          <w:szCs w:val="24"/>
          <w:lang w:eastAsia="fr-FR"/>
        </w:rPr>
      </w:pPr>
      <w:r w:rsidRPr="00C446CA">
        <w:rPr>
          <w:rFonts w:ascii="Arial" w:eastAsia="Times New Roman" w:hAnsi="Arial" w:cs="Arial"/>
          <w:color w:val="000000" w:themeColor="text1"/>
          <w:sz w:val="24"/>
          <w:szCs w:val="24"/>
          <w:lang w:eastAsia="fr-FR"/>
        </w:rPr>
        <w:t>Comme pour le secteur privé, tout employeur public occupant au moins 20 salariés ou agents à temps plein a l’obligation d’employer au minimum 6% de travailleurs en situation de handicap.</w:t>
      </w:r>
    </w:p>
    <w:p w14:paraId="15EAB420" w14:textId="6CC1F0D8" w:rsidR="00C446CA" w:rsidRPr="00C446CA" w:rsidRDefault="00C446CA" w:rsidP="00C446CA">
      <w:pPr>
        <w:spacing w:before="100" w:beforeAutospacing="1" w:after="100" w:afterAutospacing="1" w:line="285" w:lineRule="atLeast"/>
        <w:jc w:val="both"/>
        <w:rPr>
          <w:rFonts w:ascii="Arial" w:eastAsia="Times New Roman" w:hAnsi="Arial" w:cs="Arial"/>
          <w:color w:val="000000" w:themeColor="text1"/>
          <w:sz w:val="24"/>
          <w:szCs w:val="24"/>
          <w:lang w:eastAsia="fr-FR"/>
        </w:rPr>
      </w:pPr>
      <w:r w:rsidRPr="00C446CA">
        <w:rPr>
          <w:rFonts w:ascii="Arial" w:eastAsia="Times New Roman" w:hAnsi="Arial" w:cs="Arial"/>
          <w:color w:val="000000" w:themeColor="text1"/>
          <w:sz w:val="24"/>
          <w:szCs w:val="24"/>
          <w:lang w:eastAsia="fr-FR"/>
        </w:rPr>
        <w:t>Au-delà de cette obligation commune au secteur privé et public, il existe également </w:t>
      </w:r>
      <w:r w:rsidRPr="00C446CA">
        <w:rPr>
          <w:rFonts w:ascii="Arial" w:eastAsia="Times New Roman" w:hAnsi="Arial" w:cs="Arial"/>
          <w:color w:val="000000" w:themeColor="text1"/>
          <w:sz w:val="24"/>
          <w:szCs w:val="24"/>
          <w:u w:val="single"/>
          <w:lang w:eastAsia="fr-FR"/>
        </w:rPr>
        <w:t>le recrutement dérogatoire au sein de la fonction publique par la voie contractuelle:</w:t>
      </w:r>
    </w:p>
    <w:p w14:paraId="680CEF03" w14:textId="77777777" w:rsidR="00C446CA" w:rsidRPr="00C446CA" w:rsidRDefault="00C446CA" w:rsidP="00C446CA">
      <w:pPr>
        <w:spacing w:before="100" w:beforeAutospacing="1" w:after="100" w:afterAutospacing="1" w:line="285" w:lineRule="atLeast"/>
        <w:jc w:val="both"/>
        <w:rPr>
          <w:rFonts w:ascii="Arial" w:eastAsia="Times New Roman" w:hAnsi="Arial" w:cs="Arial"/>
          <w:color w:val="000000" w:themeColor="text1"/>
          <w:sz w:val="24"/>
          <w:szCs w:val="24"/>
          <w:lang w:eastAsia="fr-FR"/>
        </w:rPr>
      </w:pPr>
      <w:r w:rsidRPr="00C446CA">
        <w:rPr>
          <w:rFonts w:ascii="Arial" w:eastAsia="Times New Roman" w:hAnsi="Arial" w:cs="Arial"/>
          <w:color w:val="000000" w:themeColor="text1"/>
          <w:sz w:val="24"/>
          <w:szCs w:val="24"/>
          <w:lang w:eastAsia="fr-FR"/>
        </w:rPr>
        <w:t>Si une personne en situation de handicap peut passer les concours de la fonction publique et bénéficier d'un aménagement pour passer les épreuves, elle peut aussi être recrutée comme agent contractuel, puis être titularisée à la fin du contrat sans avoir à passer de concours.</w:t>
      </w:r>
    </w:p>
    <w:p w14:paraId="533A398E" w14:textId="77777777" w:rsidR="00C446CA" w:rsidRPr="00C446CA" w:rsidRDefault="00C446CA" w:rsidP="00C446CA">
      <w:pPr>
        <w:spacing w:before="100" w:beforeAutospacing="1" w:after="100" w:afterAutospacing="1" w:line="285" w:lineRule="atLeast"/>
        <w:jc w:val="both"/>
        <w:rPr>
          <w:rFonts w:ascii="Arial" w:eastAsia="Times New Roman" w:hAnsi="Arial" w:cs="Arial"/>
          <w:color w:val="000000" w:themeColor="text1"/>
          <w:sz w:val="24"/>
          <w:szCs w:val="24"/>
          <w:lang w:eastAsia="fr-FR"/>
        </w:rPr>
      </w:pPr>
      <w:r w:rsidRPr="00C446CA">
        <w:rPr>
          <w:rFonts w:ascii="Arial" w:eastAsia="Times New Roman" w:hAnsi="Arial" w:cs="Arial"/>
          <w:color w:val="000000" w:themeColor="text1"/>
          <w:sz w:val="24"/>
          <w:szCs w:val="24"/>
          <w:lang w:eastAsia="fr-FR"/>
        </w:rPr>
        <w:t>Cette voie dérogatoire débute par un recrutement en qualité de contractuel de catégorie A, B ou C.</w:t>
      </w:r>
    </w:p>
    <w:p w14:paraId="7BBED2E6" w14:textId="77777777" w:rsidR="00C446CA" w:rsidRPr="00C446CA" w:rsidRDefault="00C446CA" w:rsidP="00C446CA">
      <w:pPr>
        <w:spacing w:before="100" w:beforeAutospacing="1" w:after="100" w:afterAutospacing="1" w:line="285" w:lineRule="atLeast"/>
        <w:jc w:val="both"/>
        <w:rPr>
          <w:rFonts w:ascii="Arial" w:eastAsia="Times New Roman" w:hAnsi="Arial" w:cs="Arial"/>
          <w:color w:val="000000" w:themeColor="text1"/>
          <w:sz w:val="24"/>
          <w:szCs w:val="24"/>
          <w:lang w:eastAsia="fr-FR"/>
        </w:rPr>
      </w:pPr>
      <w:r w:rsidRPr="00C446CA">
        <w:rPr>
          <w:rFonts w:ascii="Arial" w:eastAsia="Times New Roman" w:hAnsi="Arial" w:cs="Arial"/>
          <w:color w:val="000000" w:themeColor="text1"/>
          <w:sz w:val="24"/>
          <w:szCs w:val="24"/>
          <w:lang w:eastAsia="fr-FR"/>
        </w:rPr>
        <w:t>Pour ce faire, la personne en situation de handicap doit :</w:t>
      </w:r>
    </w:p>
    <w:p w14:paraId="62ADCB59" w14:textId="77777777" w:rsidR="00C446CA" w:rsidRPr="00C446CA" w:rsidRDefault="00C446CA" w:rsidP="00C446CA">
      <w:pPr>
        <w:numPr>
          <w:ilvl w:val="0"/>
          <w:numId w:val="10"/>
        </w:num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C446CA">
        <w:rPr>
          <w:rFonts w:ascii="Arial" w:eastAsia="Times New Roman" w:hAnsi="Arial" w:cs="Arial"/>
          <w:color w:val="000000" w:themeColor="text1"/>
          <w:sz w:val="24"/>
          <w:szCs w:val="24"/>
          <w:lang w:eastAsia="fr-FR"/>
        </w:rPr>
        <w:t>remplir les conditions de diplômes (ou de niveau d’études) identiques à celles du recrutement par concours</w:t>
      </w:r>
    </w:p>
    <w:p w14:paraId="405EF0AC" w14:textId="77777777" w:rsidR="00C446CA" w:rsidRPr="00C446CA" w:rsidRDefault="00C446CA" w:rsidP="00C446CA">
      <w:pPr>
        <w:numPr>
          <w:ilvl w:val="0"/>
          <w:numId w:val="10"/>
        </w:num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C446CA">
        <w:rPr>
          <w:rFonts w:ascii="Arial" w:eastAsia="Times New Roman" w:hAnsi="Arial" w:cs="Arial"/>
          <w:color w:val="000000" w:themeColor="text1"/>
          <w:sz w:val="24"/>
          <w:szCs w:val="24"/>
          <w:lang w:eastAsia="fr-FR"/>
        </w:rPr>
        <w:t>avoir un état de santé qui a été jugé compatible avec l’emploi visé</w:t>
      </w:r>
    </w:p>
    <w:p w14:paraId="1543BA13" w14:textId="77777777" w:rsidR="00C446CA" w:rsidRPr="00C446CA" w:rsidRDefault="00C446CA" w:rsidP="00C446CA">
      <w:pPr>
        <w:spacing w:before="100" w:beforeAutospacing="1" w:after="100" w:afterAutospacing="1" w:line="285" w:lineRule="atLeast"/>
        <w:jc w:val="both"/>
        <w:rPr>
          <w:rFonts w:ascii="Arial" w:eastAsia="Times New Roman" w:hAnsi="Arial" w:cs="Arial"/>
          <w:color w:val="000000" w:themeColor="text1"/>
          <w:sz w:val="24"/>
          <w:szCs w:val="24"/>
          <w:lang w:eastAsia="fr-FR"/>
        </w:rPr>
      </w:pPr>
      <w:r w:rsidRPr="00C446CA">
        <w:rPr>
          <w:rFonts w:ascii="Arial" w:eastAsia="Times New Roman" w:hAnsi="Arial" w:cs="Arial"/>
          <w:color w:val="000000" w:themeColor="text1"/>
          <w:sz w:val="24"/>
          <w:szCs w:val="24"/>
          <w:lang w:eastAsia="fr-FR"/>
        </w:rPr>
        <w:t>La durée du contrat sera égale à celle accomplie par les fonctionnaires stagiaires du corps concerné (le plus souvent six mois ou un an).</w:t>
      </w:r>
    </w:p>
    <w:p w14:paraId="6246183B" w14:textId="77777777" w:rsidR="00C446CA" w:rsidRPr="00C446CA" w:rsidRDefault="00C446CA" w:rsidP="00C446CA">
      <w:pPr>
        <w:spacing w:before="100" w:beforeAutospacing="1" w:after="100" w:afterAutospacing="1" w:line="285" w:lineRule="atLeast"/>
        <w:jc w:val="both"/>
        <w:rPr>
          <w:rFonts w:ascii="Arial" w:eastAsia="Times New Roman" w:hAnsi="Arial" w:cs="Arial"/>
          <w:color w:val="000000" w:themeColor="text1"/>
          <w:sz w:val="24"/>
          <w:szCs w:val="24"/>
          <w:lang w:eastAsia="fr-FR"/>
        </w:rPr>
      </w:pPr>
      <w:r w:rsidRPr="00C446CA">
        <w:rPr>
          <w:rFonts w:ascii="Arial" w:eastAsia="Times New Roman" w:hAnsi="Arial" w:cs="Arial"/>
          <w:color w:val="000000" w:themeColor="text1"/>
          <w:sz w:val="24"/>
          <w:szCs w:val="24"/>
          <w:lang w:eastAsia="fr-FR"/>
        </w:rPr>
        <w:t>Il existe trois issues possibles à ce premier contrat :</w:t>
      </w:r>
    </w:p>
    <w:p w14:paraId="361C8B84" w14:textId="77777777" w:rsidR="00C446CA" w:rsidRPr="00C446CA" w:rsidRDefault="00C446CA" w:rsidP="00C446CA">
      <w:pPr>
        <w:numPr>
          <w:ilvl w:val="0"/>
          <w:numId w:val="11"/>
        </w:num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C446CA">
        <w:rPr>
          <w:rFonts w:ascii="Arial" w:eastAsia="Times New Roman" w:hAnsi="Arial" w:cs="Arial"/>
          <w:color w:val="000000" w:themeColor="text1"/>
          <w:sz w:val="24"/>
          <w:szCs w:val="24"/>
          <w:lang w:eastAsia="fr-FR"/>
        </w:rPr>
        <w:t>La personne en situation de handicap est déclarée apte à exercer ses fonctions. Elle est alors titularisée fonctionnaire sur le poste où elle a été recrutée.</w:t>
      </w:r>
    </w:p>
    <w:p w14:paraId="00211901" w14:textId="77777777" w:rsidR="00C446CA" w:rsidRPr="00C446CA" w:rsidRDefault="00C446CA" w:rsidP="00C446CA">
      <w:pPr>
        <w:numPr>
          <w:ilvl w:val="0"/>
          <w:numId w:val="11"/>
        </w:num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C446CA">
        <w:rPr>
          <w:rFonts w:ascii="Arial" w:eastAsia="Times New Roman" w:hAnsi="Arial" w:cs="Arial"/>
          <w:color w:val="000000" w:themeColor="text1"/>
          <w:sz w:val="24"/>
          <w:szCs w:val="24"/>
          <w:lang w:eastAsia="fr-FR"/>
        </w:rPr>
        <w:t xml:space="preserve">Si elle n’a pas fait preuve des capacités professionnelles suffisantes, le contrat </w:t>
      </w:r>
      <w:proofErr w:type="spellStart"/>
      <w:r w:rsidRPr="00C446CA">
        <w:rPr>
          <w:rFonts w:ascii="Arial" w:eastAsia="Times New Roman" w:hAnsi="Arial" w:cs="Arial"/>
          <w:color w:val="000000" w:themeColor="text1"/>
          <w:sz w:val="24"/>
          <w:szCs w:val="24"/>
          <w:lang w:eastAsia="fr-FR"/>
        </w:rPr>
        <w:t>peut-être</w:t>
      </w:r>
      <w:proofErr w:type="spellEnd"/>
      <w:r w:rsidRPr="00C446CA">
        <w:rPr>
          <w:rFonts w:ascii="Arial" w:eastAsia="Times New Roman" w:hAnsi="Arial" w:cs="Arial"/>
          <w:color w:val="000000" w:themeColor="text1"/>
          <w:sz w:val="24"/>
          <w:szCs w:val="24"/>
          <w:lang w:eastAsia="fr-FR"/>
        </w:rPr>
        <w:t xml:space="preserve"> reconduit une fois (au maximum pour la même durée).</w:t>
      </w:r>
    </w:p>
    <w:p w14:paraId="10C8EADF" w14:textId="77777777" w:rsidR="00C446CA" w:rsidRPr="00C446CA" w:rsidRDefault="00C446CA" w:rsidP="00C446CA">
      <w:pPr>
        <w:numPr>
          <w:ilvl w:val="0"/>
          <w:numId w:val="11"/>
        </w:num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C446CA">
        <w:rPr>
          <w:rFonts w:ascii="Arial" w:eastAsia="Times New Roman" w:hAnsi="Arial" w:cs="Arial"/>
          <w:color w:val="000000" w:themeColor="text1"/>
          <w:sz w:val="24"/>
          <w:szCs w:val="24"/>
          <w:lang w:eastAsia="fr-FR"/>
        </w:rPr>
        <w:t>Si sa situation ne lui permet pas de satisfaire aux exigences de l’emploi, le contrat prend fin.</w:t>
      </w:r>
    </w:p>
    <w:p w14:paraId="06E726A3" w14:textId="77777777" w:rsidR="00C446CA" w:rsidRPr="00C446CA" w:rsidRDefault="00C446CA" w:rsidP="00C446CA">
      <w:pPr>
        <w:spacing w:before="100" w:beforeAutospacing="1" w:after="100" w:afterAutospacing="1" w:line="285" w:lineRule="atLeast"/>
        <w:jc w:val="both"/>
        <w:rPr>
          <w:rFonts w:ascii="Times New Roman" w:eastAsia="Times New Roman" w:hAnsi="Times New Roman" w:cs="Times New Roman"/>
          <w:color w:val="FFFFFF"/>
          <w:sz w:val="24"/>
          <w:szCs w:val="24"/>
          <w:lang w:eastAsia="fr-FR"/>
        </w:rPr>
      </w:pPr>
      <w:r w:rsidRPr="00C446CA">
        <w:rPr>
          <w:rFonts w:ascii="Arial" w:eastAsia="Times New Roman" w:hAnsi="Arial" w:cs="Arial"/>
          <w:color w:val="000000" w:themeColor="text1"/>
          <w:sz w:val="24"/>
          <w:szCs w:val="24"/>
          <w:lang w:eastAsia="fr-FR"/>
        </w:rPr>
        <w:t>Attention : cette procédure dérogatoire est réservée aux personnes qui ne sont pas fonctionnaires</w:t>
      </w:r>
      <w:r w:rsidRPr="00C446CA">
        <w:rPr>
          <w:rFonts w:ascii="Times New Roman" w:eastAsia="Times New Roman" w:hAnsi="Times New Roman" w:cs="Times New Roman"/>
          <w:color w:val="FFFFFF"/>
          <w:sz w:val="24"/>
          <w:szCs w:val="24"/>
          <w:lang w:eastAsia="fr-FR"/>
        </w:rPr>
        <w:t>.</w:t>
      </w:r>
    </w:p>
    <w:p w14:paraId="3E404967" w14:textId="77777777" w:rsidR="00C446CA" w:rsidRPr="00622E9B" w:rsidRDefault="00C446CA" w:rsidP="00C446CA">
      <w:pPr>
        <w:jc w:val="both"/>
        <w:rPr>
          <w:rFonts w:ascii="Arial" w:hAnsi="Arial" w:cs="Arial"/>
          <w:sz w:val="24"/>
          <w:szCs w:val="24"/>
        </w:rPr>
      </w:pPr>
    </w:p>
    <w:p w14:paraId="434CD467" w14:textId="77777777" w:rsidR="00C446CA" w:rsidRPr="00622E9B" w:rsidRDefault="00C446CA" w:rsidP="00C446CA">
      <w:pPr>
        <w:jc w:val="both"/>
        <w:rPr>
          <w:rFonts w:ascii="Arial" w:hAnsi="Arial" w:cs="Arial"/>
          <w:sz w:val="24"/>
          <w:szCs w:val="24"/>
        </w:rPr>
      </w:pPr>
    </w:p>
    <w:p w14:paraId="051A1F03" w14:textId="77777777" w:rsidR="002B0FF4" w:rsidRDefault="002B0FF4"/>
    <w:sectPr w:rsidR="002B0FF4">
      <w:footerReference w:type="default" r:id="rI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68955"/>
      <w:docPartObj>
        <w:docPartGallery w:val="Page Numbers (Bottom of Page)"/>
        <w:docPartUnique/>
      </w:docPartObj>
    </w:sdtPr>
    <w:sdtEndPr/>
    <w:sdtContent>
      <w:p w14:paraId="757D410A" w14:textId="77777777" w:rsidR="002C5ED4" w:rsidRDefault="00622E9B">
        <w:pPr>
          <w:pStyle w:val="Pieddepage"/>
          <w:jc w:val="center"/>
        </w:pPr>
        <w:r>
          <w:fldChar w:fldCharType="begin"/>
        </w:r>
        <w:r>
          <w:instrText>PAGE   \* MERGEFORMAT</w:instrText>
        </w:r>
        <w:r>
          <w:fldChar w:fldCharType="separate"/>
        </w:r>
        <w:r>
          <w:t>2</w:t>
        </w:r>
        <w:r>
          <w:fldChar w:fldCharType="end"/>
        </w:r>
      </w:p>
    </w:sdtContent>
  </w:sdt>
  <w:p w14:paraId="613523BA" w14:textId="77777777" w:rsidR="002C5ED4" w:rsidRDefault="00622E9B">
    <w:pPr>
      <w:pStyle w:val="Pieddepag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87B03"/>
    <w:multiLevelType w:val="multilevel"/>
    <w:tmpl w:val="F1BA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D3570"/>
    <w:multiLevelType w:val="multilevel"/>
    <w:tmpl w:val="A9D8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44C1B"/>
    <w:multiLevelType w:val="multilevel"/>
    <w:tmpl w:val="CF12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002D63"/>
    <w:multiLevelType w:val="multilevel"/>
    <w:tmpl w:val="EE96B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1A5461"/>
    <w:multiLevelType w:val="multilevel"/>
    <w:tmpl w:val="9D7A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D4554"/>
    <w:multiLevelType w:val="hybridMultilevel"/>
    <w:tmpl w:val="E32218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722794"/>
    <w:multiLevelType w:val="hybridMultilevel"/>
    <w:tmpl w:val="158AC3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52405D"/>
    <w:multiLevelType w:val="multilevel"/>
    <w:tmpl w:val="0350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763234"/>
    <w:multiLevelType w:val="multilevel"/>
    <w:tmpl w:val="75DA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BA5673"/>
    <w:multiLevelType w:val="multilevel"/>
    <w:tmpl w:val="852A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6411AE"/>
    <w:multiLevelType w:val="hybridMultilevel"/>
    <w:tmpl w:val="C4989E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6"/>
  </w:num>
  <w:num w:numId="4">
    <w:abstractNumId w:val="0"/>
  </w:num>
  <w:num w:numId="5">
    <w:abstractNumId w:val="1"/>
  </w:num>
  <w:num w:numId="6">
    <w:abstractNumId w:val="3"/>
  </w:num>
  <w:num w:numId="7">
    <w:abstractNumId w:val="8"/>
  </w:num>
  <w:num w:numId="8">
    <w:abstractNumId w:val="2"/>
  </w:num>
  <w:num w:numId="9">
    <w:abstractNumId w:val="7"/>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6CA"/>
    <w:rsid w:val="002B0FF4"/>
    <w:rsid w:val="00601E34"/>
    <w:rsid w:val="00622E9B"/>
    <w:rsid w:val="00C446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05415EE"/>
  <w15:chartTrackingRefBased/>
  <w15:docId w15:val="{B3057022-DCCD-F941-8479-DB0AD5D3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6CA"/>
    <w:pPr>
      <w:spacing w:after="200" w:line="276" w:lineRule="auto"/>
    </w:pPr>
    <w:rPr>
      <w:sz w:val="22"/>
      <w:szCs w:val="22"/>
    </w:rPr>
  </w:style>
  <w:style w:type="paragraph" w:styleId="Titre1">
    <w:name w:val="heading 1"/>
    <w:basedOn w:val="Normal"/>
    <w:next w:val="Normal"/>
    <w:link w:val="Titre1Car"/>
    <w:uiPriority w:val="9"/>
    <w:qFormat/>
    <w:rsid w:val="00C446CA"/>
    <w:pPr>
      <w:keepNext/>
      <w:keepLines/>
      <w:spacing w:before="240" w:after="0"/>
      <w:jc w:val="center"/>
      <w:outlineLvl w:val="0"/>
    </w:pPr>
    <w:rPr>
      <w:rFonts w:ascii="Arial" w:eastAsiaTheme="majorEastAsia" w:hAnsi="Arial" w:cstheme="majorBidi"/>
      <w:b/>
      <w:sz w:val="32"/>
      <w:szCs w:val="32"/>
      <w:u w:val="single"/>
    </w:rPr>
  </w:style>
  <w:style w:type="paragraph" w:styleId="Titre2">
    <w:name w:val="heading 2"/>
    <w:basedOn w:val="Normal"/>
    <w:next w:val="Normal"/>
    <w:link w:val="Titre2Car"/>
    <w:uiPriority w:val="9"/>
    <w:unhideWhenUsed/>
    <w:qFormat/>
    <w:rsid w:val="00C446CA"/>
    <w:pPr>
      <w:keepNext/>
      <w:keepLines/>
      <w:spacing w:before="40" w:after="0"/>
      <w:outlineLvl w:val="1"/>
    </w:pPr>
    <w:rPr>
      <w:rFonts w:ascii="Arial" w:eastAsiaTheme="majorEastAsia" w:hAnsi="Arial" w:cstheme="majorBidi"/>
      <w:b/>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46CA"/>
    <w:rPr>
      <w:rFonts w:ascii="Arial" w:eastAsiaTheme="majorEastAsia" w:hAnsi="Arial" w:cstheme="majorBidi"/>
      <w:b/>
      <w:sz w:val="32"/>
      <w:szCs w:val="32"/>
      <w:u w:val="single"/>
    </w:rPr>
  </w:style>
  <w:style w:type="character" w:customStyle="1" w:styleId="Titre2Car">
    <w:name w:val="Titre 2 Car"/>
    <w:basedOn w:val="Policepardfaut"/>
    <w:link w:val="Titre2"/>
    <w:uiPriority w:val="9"/>
    <w:rsid w:val="00C446CA"/>
    <w:rPr>
      <w:rFonts w:ascii="Arial" w:eastAsiaTheme="majorEastAsia" w:hAnsi="Arial" w:cstheme="majorBidi"/>
      <w:b/>
      <w:sz w:val="26"/>
      <w:szCs w:val="26"/>
    </w:rPr>
  </w:style>
  <w:style w:type="paragraph" w:styleId="Paragraphedeliste">
    <w:name w:val="List Paragraph"/>
    <w:basedOn w:val="Normal"/>
    <w:uiPriority w:val="34"/>
    <w:qFormat/>
    <w:rsid w:val="00C446CA"/>
    <w:pPr>
      <w:ind w:left="720"/>
      <w:contextualSpacing/>
    </w:pPr>
  </w:style>
  <w:style w:type="character" w:styleId="Lienhypertexte">
    <w:name w:val="Hyperlink"/>
    <w:basedOn w:val="Policepardfaut"/>
    <w:uiPriority w:val="99"/>
    <w:unhideWhenUsed/>
    <w:rsid w:val="00C446CA"/>
    <w:rPr>
      <w:color w:val="0563C1" w:themeColor="hyperlink"/>
      <w:u w:val="single"/>
    </w:rPr>
  </w:style>
  <w:style w:type="paragraph" w:styleId="Pieddepage">
    <w:name w:val="footer"/>
    <w:basedOn w:val="Normal"/>
    <w:link w:val="PieddepageCar"/>
    <w:uiPriority w:val="99"/>
    <w:unhideWhenUsed/>
    <w:rsid w:val="00C446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46CA"/>
    <w:rPr>
      <w:sz w:val="22"/>
      <w:szCs w:val="22"/>
    </w:rPr>
  </w:style>
  <w:style w:type="paragraph" w:customStyle="1" w:styleId="04xlpa">
    <w:name w:val="_04xlpa"/>
    <w:basedOn w:val="Normal"/>
    <w:rsid w:val="00C446C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jsgrdq">
    <w:name w:val="jsgrdq"/>
    <w:basedOn w:val="Policepardfaut"/>
    <w:rsid w:val="00C446CA"/>
  </w:style>
  <w:style w:type="character" w:customStyle="1" w:styleId="apple-converted-space">
    <w:name w:val="apple-converted-space"/>
    <w:basedOn w:val="Policepardfaut"/>
    <w:rsid w:val="00C44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56874">
      <w:bodyDiv w:val="1"/>
      <w:marLeft w:val="0"/>
      <w:marRight w:val="0"/>
      <w:marTop w:val="0"/>
      <w:marBottom w:val="0"/>
      <w:divBdr>
        <w:top w:val="none" w:sz="0" w:space="0" w:color="auto"/>
        <w:left w:val="none" w:sz="0" w:space="0" w:color="auto"/>
        <w:bottom w:val="none" w:sz="0" w:space="0" w:color="auto"/>
        <w:right w:val="none" w:sz="0" w:space="0" w:color="auto"/>
      </w:divBdr>
    </w:div>
    <w:div w:id="265622445">
      <w:bodyDiv w:val="1"/>
      <w:marLeft w:val="0"/>
      <w:marRight w:val="0"/>
      <w:marTop w:val="0"/>
      <w:marBottom w:val="0"/>
      <w:divBdr>
        <w:top w:val="none" w:sz="0" w:space="0" w:color="auto"/>
        <w:left w:val="none" w:sz="0" w:space="0" w:color="auto"/>
        <w:bottom w:val="none" w:sz="0" w:space="0" w:color="auto"/>
        <w:right w:val="none" w:sz="0" w:space="0" w:color="auto"/>
      </w:divBdr>
    </w:div>
    <w:div w:id="483738741">
      <w:bodyDiv w:val="1"/>
      <w:marLeft w:val="0"/>
      <w:marRight w:val="0"/>
      <w:marTop w:val="0"/>
      <w:marBottom w:val="0"/>
      <w:divBdr>
        <w:top w:val="none" w:sz="0" w:space="0" w:color="auto"/>
        <w:left w:val="none" w:sz="0" w:space="0" w:color="auto"/>
        <w:bottom w:val="none" w:sz="0" w:space="0" w:color="auto"/>
        <w:right w:val="none" w:sz="0" w:space="0" w:color="auto"/>
      </w:divBdr>
    </w:div>
    <w:div w:id="599335252">
      <w:bodyDiv w:val="1"/>
      <w:marLeft w:val="0"/>
      <w:marRight w:val="0"/>
      <w:marTop w:val="0"/>
      <w:marBottom w:val="0"/>
      <w:divBdr>
        <w:top w:val="none" w:sz="0" w:space="0" w:color="auto"/>
        <w:left w:val="none" w:sz="0" w:space="0" w:color="auto"/>
        <w:bottom w:val="none" w:sz="0" w:space="0" w:color="auto"/>
        <w:right w:val="none" w:sz="0" w:space="0" w:color="auto"/>
      </w:divBdr>
    </w:div>
    <w:div w:id="109493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egifrance.gouv.fr/affichCodeArticle.do?cidTexte=LEGITEXT000006074068&amp;idArticle=LEGIARTI000031709729&amp;dateTexte=&amp;categorieLien=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affichCodeArticle.do?cidTexte=LEGITEXT000006074068&amp;idArticle=LEGIARTI000031709727&amp;dateTexte=&amp;categorieLien=cid" TargetMode="External"/><Relationship Id="rId5" Type="http://schemas.openxmlformats.org/officeDocument/2006/relationships/hyperlink" Target="https://www.legifrance.gouv.fr/affichCodeArticle.do?cidTexte=LEGITEXT000006074068&amp;idArticle=LEGIARTI000031709725&amp;dateTexte=&amp;categorieLien=ci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1028</Words>
  <Characters>5657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Mercado</dc:creator>
  <cp:keywords/>
  <dc:description/>
  <cp:lastModifiedBy>Léa Mercado</cp:lastModifiedBy>
  <cp:revision>1</cp:revision>
  <dcterms:created xsi:type="dcterms:W3CDTF">2022-04-27T07:47:00Z</dcterms:created>
  <dcterms:modified xsi:type="dcterms:W3CDTF">2022-04-27T07:54:00Z</dcterms:modified>
</cp:coreProperties>
</file>