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CCBE4" w14:textId="0F7DD539" w:rsidR="00405B4B" w:rsidRPr="002C5ED4" w:rsidRDefault="00405B4B" w:rsidP="00405B4B">
      <w:pPr>
        <w:pStyle w:val="Titre1"/>
      </w:pPr>
      <w:r w:rsidRPr="002C5ED4">
        <w:t xml:space="preserve">Fiche - </w:t>
      </w:r>
      <w:r w:rsidR="00F54C00">
        <w:t>Les discriminations contre les personnes en situation de handicap</w:t>
      </w:r>
    </w:p>
    <w:p w14:paraId="1D06E769" w14:textId="77777777" w:rsidR="00405B4B" w:rsidRPr="0080414B" w:rsidRDefault="00405B4B" w:rsidP="00405B4B">
      <w:pPr>
        <w:jc w:val="both"/>
      </w:pPr>
    </w:p>
    <w:p w14:paraId="2CE86B1B" w14:textId="129B4F3A" w:rsidR="00405B4B" w:rsidRPr="0080414B" w:rsidRDefault="00F54C00" w:rsidP="00405B4B">
      <w:pPr>
        <w:pStyle w:val="Titre2"/>
        <w:jc w:val="both"/>
      </w:pPr>
      <w:r>
        <w:t xml:space="preserve">Qu’est-ce </w:t>
      </w:r>
      <w:r w:rsidR="0048086E">
        <w:t>que la discrimination ?</w:t>
      </w:r>
    </w:p>
    <w:p w14:paraId="2208DD10" w14:textId="49157F0F" w:rsidR="00A21146" w:rsidRPr="00A21146" w:rsidRDefault="00A21146" w:rsidP="00A21146">
      <w:pPr>
        <w:spacing w:after="0" w:line="240" w:lineRule="auto"/>
        <w:jc w:val="both"/>
        <w:rPr>
          <w:rFonts w:ascii="Arial" w:eastAsia="Times New Roman" w:hAnsi="Arial" w:cs="Arial"/>
          <w:color w:val="000000"/>
          <w:sz w:val="24"/>
          <w:szCs w:val="24"/>
          <w:lang w:eastAsia="fr-FR"/>
        </w:rPr>
      </w:pPr>
      <w:r w:rsidRPr="00A21146">
        <w:rPr>
          <w:rFonts w:ascii="Arial" w:eastAsia="Times New Roman" w:hAnsi="Arial" w:cs="Arial"/>
          <w:color w:val="000000"/>
          <w:sz w:val="24"/>
          <w:szCs w:val="24"/>
          <w:lang w:eastAsia="fr-FR"/>
        </w:rPr>
        <w:t>La Convention relative aux droits des personnes handicapées, adoptée par l'ONU le 13 décembre 2006 </w:t>
      </w:r>
      <w:r w:rsidRPr="00A21146">
        <w:rPr>
          <w:rFonts w:ascii="Arial" w:eastAsia="Times New Roman" w:hAnsi="Arial" w:cs="Arial"/>
          <w:color w:val="000000"/>
          <w:sz w:val="24"/>
          <w:szCs w:val="24"/>
          <w:u w:val="single"/>
          <w:lang w:eastAsia="fr-FR"/>
        </w:rPr>
        <w:t>définit la discrimination due au handicap</w:t>
      </w:r>
      <w:r w:rsidRPr="00A21146">
        <w:rPr>
          <w:rFonts w:ascii="Arial" w:eastAsia="Times New Roman" w:hAnsi="Arial" w:cs="Arial"/>
          <w:color w:val="000000"/>
          <w:sz w:val="24"/>
          <w:szCs w:val="24"/>
          <w:lang w:eastAsia="fr-FR"/>
        </w:rPr>
        <w:t> comme "</w:t>
      </w:r>
      <w:r w:rsidRPr="00A21146">
        <w:rPr>
          <w:rFonts w:ascii="Arial" w:eastAsia="Times New Roman" w:hAnsi="Arial" w:cs="Arial"/>
          <w:i/>
          <w:iCs/>
          <w:color w:val="000000"/>
          <w:sz w:val="24"/>
          <w:szCs w:val="24"/>
          <w:lang w:eastAsia="fr-FR"/>
        </w:rPr>
        <w:t>toute distinction, exclusion ou restriction fondée que le handicap qui a pour objet ou pour effet de compromettre ou réduire à néant la reconnaissance, la jouissance ou l'exercice, sur la base de l'égalité avec les autres, de tous les droits de l'Homme et de toutes les libertés fondamentales</w:t>
      </w:r>
      <w:r w:rsidRPr="00A21146">
        <w:rPr>
          <w:rFonts w:ascii="Arial" w:eastAsia="Times New Roman" w:hAnsi="Arial" w:cs="Arial"/>
          <w:color w:val="000000"/>
          <w:sz w:val="24"/>
          <w:szCs w:val="24"/>
          <w:lang w:eastAsia="fr-FR"/>
        </w:rPr>
        <w:t>" (art 2).</w:t>
      </w:r>
    </w:p>
    <w:p w14:paraId="58B850E4" w14:textId="77777777" w:rsidR="00A21146" w:rsidRPr="00A21146" w:rsidRDefault="00A21146" w:rsidP="00A21146">
      <w:pPr>
        <w:spacing w:after="0" w:line="240" w:lineRule="auto"/>
        <w:rPr>
          <w:rFonts w:ascii="Times New Roman" w:eastAsia="Times New Roman" w:hAnsi="Times New Roman" w:cs="Times New Roman"/>
          <w:sz w:val="24"/>
          <w:szCs w:val="24"/>
          <w:lang w:eastAsia="fr-FR"/>
        </w:rPr>
      </w:pPr>
    </w:p>
    <w:p w14:paraId="0B901FE7" w14:textId="590E5F00" w:rsidR="00405B4B" w:rsidRPr="0080414B" w:rsidRDefault="00A21146" w:rsidP="00405B4B">
      <w:pPr>
        <w:pStyle w:val="Titre2"/>
        <w:jc w:val="both"/>
      </w:pPr>
      <w:r>
        <w:t>Quels sont les cas de discriminations ?</w:t>
      </w:r>
    </w:p>
    <w:p w14:paraId="659949FD" w14:textId="77777777" w:rsidR="00A21146" w:rsidRPr="00A21146" w:rsidRDefault="00A21146" w:rsidP="00A21146">
      <w:p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A21146">
        <w:rPr>
          <w:rFonts w:ascii="Arial" w:eastAsia="Times New Roman" w:hAnsi="Arial" w:cs="Arial"/>
          <w:color w:val="000000" w:themeColor="text1"/>
          <w:sz w:val="24"/>
          <w:szCs w:val="24"/>
          <w:u w:val="single"/>
          <w:lang w:eastAsia="fr-FR"/>
        </w:rPr>
        <w:t>La discrimination peut être</w:t>
      </w:r>
      <w:r w:rsidRPr="00A21146">
        <w:rPr>
          <w:rFonts w:ascii="Arial" w:eastAsia="Times New Roman" w:hAnsi="Arial" w:cs="Arial"/>
          <w:color w:val="000000" w:themeColor="text1"/>
          <w:sz w:val="24"/>
          <w:szCs w:val="24"/>
          <w:lang w:eastAsia="fr-FR"/>
        </w:rPr>
        <w:t> :</w:t>
      </w:r>
    </w:p>
    <w:p w14:paraId="54821B1E" w14:textId="1D69BEB3" w:rsidR="00A21146" w:rsidRPr="00A21146" w:rsidRDefault="00A21146" w:rsidP="00A21146">
      <w:pPr>
        <w:numPr>
          <w:ilvl w:val="0"/>
          <w:numId w:val="13"/>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A21146">
        <w:rPr>
          <w:rFonts w:ascii="Arial" w:eastAsia="Times New Roman" w:hAnsi="Arial" w:cs="Arial"/>
          <w:color w:val="000000" w:themeColor="text1"/>
          <w:sz w:val="24"/>
          <w:szCs w:val="24"/>
          <w:lang w:eastAsia="fr-FR"/>
        </w:rPr>
        <w:t>Directe lorsqu'une personne est traitée de manière moins favorable qu'une autre ne l'est, ne l'a été ou le serait dans une situation comparable. Par exemple, le refus de procéder à des aménagements du poste de travail qui permettrait à une personne handicapées d'accéder à un emploi, de l'exercer, de le conserver ou d'y progresser.</w:t>
      </w:r>
    </w:p>
    <w:p w14:paraId="6FD3DC80" w14:textId="77777777" w:rsidR="00A21146" w:rsidRPr="00A21146" w:rsidRDefault="00A21146" w:rsidP="00A21146">
      <w:pPr>
        <w:pStyle w:val="Paragraphedeliste"/>
        <w:numPr>
          <w:ilvl w:val="0"/>
          <w:numId w:val="16"/>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A21146">
        <w:rPr>
          <w:rFonts w:ascii="Arial" w:eastAsia="Times New Roman" w:hAnsi="Arial" w:cs="Arial"/>
          <w:color w:val="000000" w:themeColor="text1"/>
          <w:sz w:val="24"/>
          <w:szCs w:val="24"/>
          <w:lang w:eastAsia="fr-FR"/>
        </w:rPr>
        <w:t>Indirecte lorsqu'une disposition, un critère ou une pratique apparemment neutre est susceptible d'entraîner un désavantage particulier pour des personnes souffrant d'un handicap donné par rapport à d'autres personnes. Par exemple, la suppression de guichets pour l'achat de tickets de transport désavantage les personnes qui, en raison d'une déficience, ne peuvent pas utiliser les distributeurs automatiques</w:t>
      </w:r>
    </w:p>
    <w:p w14:paraId="2DBF1A1B" w14:textId="01AE87D4" w:rsidR="00A21146" w:rsidRDefault="00A21146" w:rsidP="00A21146">
      <w:pPr>
        <w:numPr>
          <w:ilvl w:val="0"/>
          <w:numId w:val="13"/>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A21146">
        <w:rPr>
          <w:rFonts w:ascii="Arial" w:eastAsia="Times New Roman" w:hAnsi="Arial" w:cs="Arial"/>
          <w:color w:val="000000" w:themeColor="text1"/>
          <w:sz w:val="24"/>
          <w:szCs w:val="24"/>
          <w:lang w:eastAsia="fr-FR"/>
        </w:rPr>
        <w:t>Successive si elle résulte d’une succession de facteurs. Par exemple, le cas d’une femme en situation de handicap qui, à poste équivalent, est moins rémunérée que ses collègues masculins et qui, en l’absence d’aménagements, ne peut bénéficier d’une session de formation.</w:t>
      </w:r>
    </w:p>
    <w:p w14:paraId="17593E2D" w14:textId="77777777" w:rsidR="00A21146" w:rsidRPr="00A21146" w:rsidRDefault="00A21146" w:rsidP="00A21146">
      <w:pPr>
        <w:pStyle w:val="Paragraphedeliste"/>
        <w:numPr>
          <w:ilvl w:val="0"/>
          <w:numId w:val="17"/>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A21146">
        <w:rPr>
          <w:rFonts w:ascii="Arial" w:eastAsia="Times New Roman" w:hAnsi="Arial" w:cs="Arial"/>
          <w:color w:val="000000" w:themeColor="text1"/>
          <w:sz w:val="24"/>
          <w:szCs w:val="24"/>
          <w:lang w:eastAsia="fr-FR"/>
        </w:rPr>
        <w:t>Cumulative quand plusieurs motifs discriminatoires interviennent en même temps et s’ajoutent les uns aux autres. Par exemple, lorsqu’une personne souffrant d’une maladie chronique se voit refuser une promotion en raison de son âge et de ses absences répétées (liées à sa pathologie).</w:t>
      </w:r>
    </w:p>
    <w:p w14:paraId="55B2F8F2" w14:textId="77777777" w:rsidR="00A21146" w:rsidRPr="00A21146" w:rsidRDefault="00A21146" w:rsidP="00A21146">
      <w:p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A21146">
        <w:rPr>
          <w:rFonts w:ascii="Arial" w:eastAsia="Times New Roman" w:hAnsi="Arial" w:cs="Arial"/>
          <w:color w:val="000000" w:themeColor="text1"/>
          <w:sz w:val="24"/>
          <w:szCs w:val="24"/>
          <w:u w:val="single"/>
          <w:lang w:eastAsia="fr-FR"/>
        </w:rPr>
        <w:t>La discrimination n'est pas</w:t>
      </w:r>
      <w:r w:rsidRPr="00A21146">
        <w:rPr>
          <w:rFonts w:ascii="Arial" w:eastAsia="Times New Roman" w:hAnsi="Arial" w:cs="Arial"/>
          <w:color w:val="000000" w:themeColor="text1"/>
          <w:sz w:val="24"/>
          <w:szCs w:val="24"/>
          <w:lang w:eastAsia="fr-FR"/>
        </w:rPr>
        <w:t> (art 225-3 CP) :</w:t>
      </w:r>
    </w:p>
    <w:p w14:paraId="4E054962" w14:textId="519A28F2" w:rsidR="00A21146" w:rsidRDefault="00A21146" w:rsidP="00A21146">
      <w:pPr>
        <w:numPr>
          <w:ilvl w:val="0"/>
          <w:numId w:val="14"/>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A21146">
        <w:rPr>
          <w:rFonts w:ascii="Arial" w:eastAsia="Times New Roman" w:hAnsi="Arial" w:cs="Arial"/>
          <w:color w:val="000000" w:themeColor="text1"/>
          <w:sz w:val="24"/>
          <w:szCs w:val="24"/>
          <w:lang w:eastAsia="fr-FR"/>
        </w:rPr>
        <w:t>Les discriminations fondées sur l'état de santé, lorsqu'elles consistent en des opérations ayant pour objet la prévention et la couverture du risque décès, des risques portant atteinte à l'intégrité physique de la personne ou des risques d'incapacité de travail ou d'invalidité.</w:t>
      </w:r>
    </w:p>
    <w:p w14:paraId="22219FB0" w14:textId="77777777" w:rsidR="00A21146" w:rsidRPr="00A21146" w:rsidRDefault="00A21146" w:rsidP="00A21146">
      <w:pPr>
        <w:spacing w:before="100" w:beforeAutospacing="1" w:after="100" w:afterAutospacing="1" w:line="240" w:lineRule="auto"/>
        <w:ind w:left="720"/>
        <w:jc w:val="both"/>
        <w:rPr>
          <w:rFonts w:ascii="Arial" w:eastAsia="Times New Roman" w:hAnsi="Arial" w:cs="Arial"/>
          <w:color w:val="000000" w:themeColor="text1"/>
          <w:sz w:val="24"/>
          <w:szCs w:val="24"/>
          <w:lang w:eastAsia="fr-FR"/>
        </w:rPr>
      </w:pPr>
    </w:p>
    <w:p w14:paraId="3BDD1CE7" w14:textId="7EF7D942" w:rsidR="00A21146" w:rsidRDefault="00A21146" w:rsidP="00A21146">
      <w:pPr>
        <w:numPr>
          <w:ilvl w:val="0"/>
          <w:numId w:val="14"/>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A21146">
        <w:rPr>
          <w:rFonts w:ascii="Arial" w:eastAsia="Times New Roman" w:hAnsi="Arial" w:cs="Arial"/>
          <w:color w:val="000000" w:themeColor="text1"/>
          <w:sz w:val="24"/>
          <w:szCs w:val="24"/>
          <w:lang w:eastAsia="fr-FR"/>
        </w:rPr>
        <w:lastRenderedPageBreak/>
        <w:t>Les discriminations fondées sur l'état de santé ou le handicap, lorsqu'elles consistent en un refus d'embauche ou un licenciement fondé sur l'inaptitude médicalement constatée soit dans le cadre du titre IV du livre II du code du travail, soit dans le cadre des lois portant dispositions statutaires relatives à la fonction publique ;</w:t>
      </w:r>
    </w:p>
    <w:p w14:paraId="2CAA9DC4" w14:textId="77777777" w:rsidR="00A21146" w:rsidRPr="00A21146" w:rsidRDefault="00A21146" w:rsidP="00A21146">
      <w:pPr>
        <w:pStyle w:val="Paragraphedeliste"/>
        <w:numPr>
          <w:ilvl w:val="0"/>
          <w:numId w:val="17"/>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A21146">
        <w:rPr>
          <w:rFonts w:ascii="Arial" w:eastAsia="Times New Roman" w:hAnsi="Arial" w:cs="Arial"/>
          <w:color w:val="000000" w:themeColor="text1"/>
          <w:sz w:val="24"/>
          <w:szCs w:val="24"/>
          <w:lang w:eastAsia="fr-FR"/>
        </w:rPr>
        <w:t>Les discriminations fondées, en matière d'embauche, sur un motif mentionné à l'article 225-1 du présent code, lorsqu'un tel motif constitue une exigence professionnelle essentielle et déterminante et pour autant que l'objectif soit légitime et l'exigence proportionnée ;...</w:t>
      </w:r>
    </w:p>
    <w:p w14:paraId="488D8D53" w14:textId="255C5EE6" w:rsidR="00405B4B" w:rsidRPr="0080414B" w:rsidRDefault="00A21146" w:rsidP="00405B4B">
      <w:pPr>
        <w:pStyle w:val="Titre2"/>
        <w:jc w:val="both"/>
      </w:pPr>
      <w:r>
        <w:t>Que faire en cas de discrimination ?</w:t>
      </w:r>
    </w:p>
    <w:p w14:paraId="5724AC18" w14:textId="77777777" w:rsidR="00A21146" w:rsidRPr="00A21146" w:rsidRDefault="00A21146" w:rsidP="00A21146">
      <w:pPr>
        <w:spacing w:before="100" w:beforeAutospacing="1" w:after="100" w:afterAutospacing="1" w:line="240" w:lineRule="auto"/>
        <w:jc w:val="both"/>
        <w:rPr>
          <w:rFonts w:ascii="Arial" w:eastAsia="Times New Roman" w:hAnsi="Arial" w:cs="Arial"/>
          <w:color w:val="000000"/>
          <w:sz w:val="24"/>
          <w:szCs w:val="24"/>
          <w:lang w:eastAsia="fr-FR"/>
        </w:rPr>
      </w:pPr>
      <w:r w:rsidRPr="00A21146">
        <w:rPr>
          <w:rFonts w:ascii="Arial" w:eastAsia="Times New Roman" w:hAnsi="Arial" w:cs="Arial"/>
          <w:color w:val="000000"/>
          <w:sz w:val="24"/>
          <w:szCs w:val="24"/>
          <w:u w:val="single"/>
          <w:lang w:eastAsia="fr-FR"/>
        </w:rPr>
        <w:t>Si vous êtes victime d’une discrimination du fait de votre handicap, vous pouvez</w:t>
      </w:r>
      <w:r w:rsidRPr="00A21146">
        <w:rPr>
          <w:rFonts w:ascii="Arial" w:eastAsia="Times New Roman" w:hAnsi="Arial" w:cs="Arial"/>
          <w:color w:val="000000"/>
          <w:sz w:val="24"/>
          <w:szCs w:val="24"/>
          <w:lang w:eastAsia="fr-FR"/>
        </w:rPr>
        <w:t> :</w:t>
      </w:r>
    </w:p>
    <w:p w14:paraId="34EAF048" w14:textId="3E705342" w:rsidR="00A21146" w:rsidRPr="00A21146" w:rsidRDefault="00A21146" w:rsidP="00A21146">
      <w:pPr>
        <w:spacing w:before="100" w:beforeAutospacing="1" w:after="100" w:afterAutospacing="1" w:line="240" w:lineRule="auto"/>
        <w:jc w:val="both"/>
        <w:rPr>
          <w:rFonts w:ascii="Arial" w:eastAsia="Times New Roman" w:hAnsi="Arial" w:cs="Arial"/>
          <w:color w:val="000000"/>
          <w:sz w:val="24"/>
          <w:szCs w:val="24"/>
          <w:lang w:eastAsia="fr-FR"/>
        </w:rPr>
      </w:pPr>
      <w:r w:rsidRPr="00A21146">
        <w:rPr>
          <w:rFonts w:ascii="Arial" w:eastAsia="Times New Roman" w:hAnsi="Arial" w:cs="Arial"/>
          <w:i/>
          <w:iCs/>
          <w:color w:val="000000"/>
          <w:sz w:val="24"/>
          <w:szCs w:val="24"/>
          <w:lang w:eastAsia="fr-FR"/>
        </w:rPr>
        <w:t>Exercer un recours gracieux ou hiérarchique </w:t>
      </w:r>
      <w:r w:rsidRPr="00A21146">
        <w:rPr>
          <w:rFonts w:ascii="Arial" w:eastAsia="Times New Roman" w:hAnsi="Arial" w:cs="Arial"/>
          <w:color w:val="000000"/>
          <w:sz w:val="24"/>
          <w:szCs w:val="24"/>
          <w:lang w:eastAsia="fr-FR"/>
        </w:rPr>
        <w:t xml:space="preserve">: vous pouvez vous adresser à la personne autrice des discriminations ou à son supérieur hiérarchique, par un courrier sans formalité particulière, afin de lui demander de mettre fin à la </w:t>
      </w:r>
      <w:r w:rsidRPr="00A21146">
        <w:rPr>
          <w:rFonts w:ascii="Arial" w:eastAsia="Times New Roman" w:hAnsi="Arial" w:cs="Arial"/>
          <w:color w:val="000000"/>
          <w:sz w:val="24"/>
          <w:szCs w:val="24"/>
          <w:lang w:eastAsia="fr-FR"/>
        </w:rPr>
        <w:t>discrimination</w:t>
      </w:r>
      <w:r w:rsidRPr="00A21146">
        <w:rPr>
          <w:rFonts w:ascii="Arial" w:eastAsia="Times New Roman" w:hAnsi="Arial" w:cs="Arial"/>
          <w:color w:val="000000"/>
          <w:sz w:val="24"/>
          <w:szCs w:val="24"/>
          <w:lang w:eastAsia="fr-FR"/>
        </w:rPr>
        <w:t xml:space="preserve"> subie.</w:t>
      </w:r>
    </w:p>
    <w:p w14:paraId="3410D2A6" w14:textId="77777777" w:rsidR="00A21146" w:rsidRPr="00A21146" w:rsidRDefault="00A21146" w:rsidP="00A21146">
      <w:pPr>
        <w:spacing w:before="100" w:beforeAutospacing="1" w:after="100" w:afterAutospacing="1" w:line="240" w:lineRule="auto"/>
        <w:jc w:val="both"/>
        <w:rPr>
          <w:rFonts w:ascii="Arial" w:eastAsia="Times New Roman" w:hAnsi="Arial" w:cs="Arial"/>
          <w:color w:val="000000"/>
          <w:sz w:val="24"/>
          <w:szCs w:val="24"/>
          <w:lang w:eastAsia="fr-FR"/>
        </w:rPr>
      </w:pPr>
      <w:r w:rsidRPr="00A21146">
        <w:rPr>
          <w:rFonts w:ascii="Arial" w:eastAsia="Times New Roman" w:hAnsi="Arial" w:cs="Arial"/>
          <w:i/>
          <w:iCs/>
          <w:color w:val="000000"/>
          <w:sz w:val="24"/>
          <w:szCs w:val="24"/>
          <w:lang w:eastAsia="fr-FR"/>
        </w:rPr>
        <w:t>Saisir le Défenseur des droits</w:t>
      </w:r>
      <w:r w:rsidRPr="00A21146">
        <w:rPr>
          <w:rFonts w:ascii="Arial" w:eastAsia="Times New Roman" w:hAnsi="Arial" w:cs="Arial"/>
          <w:color w:val="000000"/>
          <w:sz w:val="24"/>
          <w:szCs w:val="24"/>
          <w:lang w:eastAsia="fr-FR"/>
        </w:rPr>
        <w:t> : le Défenseur des droits pourra ordonner une médiation, une transaction ou agir en justice pour mettre fin aux faits discriminatoires.</w:t>
      </w:r>
    </w:p>
    <w:p w14:paraId="046DF1A4" w14:textId="77777777" w:rsidR="00A21146" w:rsidRPr="00A21146" w:rsidRDefault="00A21146" w:rsidP="00A21146">
      <w:pPr>
        <w:spacing w:before="100" w:beforeAutospacing="1" w:after="100" w:afterAutospacing="1" w:line="240" w:lineRule="auto"/>
        <w:jc w:val="both"/>
        <w:rPr>
          <w:rFonts w:ascii="Arial" w:eastAsia="Times New Roman" w:hAnsi="Arial" w:cs="Arial"/>
          <w:color w:val="000000"/>
          <w:sz w:val="24"/>
          <w:szCs w:val="24"/>
          <w:lang w:eastAsia="fr-FR"/>
        </w:rPr>
      </w:pPr>
      <w:r w:rsidRPr="00A21146">
        <w:rPr>
          <w:rFonts w:ascii="Arial" w:eastAsia="Times New Roman" w:hAnsi="Arial" w:cs="Arial"/>
          <w:i/>
          <w:iCs/>
          <w:color w:val="000000"/>
          <w:sz w:val="24"/>
          <w:szCs w:val="24"/>
          <w:lang w:eastAsia="fr-FR"/>
        </w:rPr>
        <w:t>Porter plainte</w:t>
      </w:r>
      <w:r w:rsidRPr="00A21146">
        <w:rPr>
          <w:rFonts w:ascii="Arial" w:eastAsia="Times New Roman" w:hAnsi="Arial" w:cs="Arial"/>
          <w:color w:val="000000"/>
          <w:sz w:val="24"/>
          <w:szCs w:val="24"/>
          <w:lang w:eastAsia="fr-FR"/>
        </w:rPr>
        <w:t> :</w:t>
      </w:r>
    </w:p>
    <w:p w14:paraId="08DBD10F" w14:textId="77777777" w:rsidR="00A21146" w:rsidRPr="00A21146" w:rsidRDefault="00A21146" w:rsidP="00A21146">
      <w:pPr>
        <w:numPr>
          <w:ilvl w:val="0"/>
          <w:numId w:val="18"/>
        </w:numPr>
        <w:spacing w:before="100" w:beforeAutospacing="1" w:after="100" w:afterAutospacing="1" w:line="240" w:lineRule="auto"/>
        <w:jc w:val="both"/>
        <w:rPr>
          <w:rFonts w:ascii="Arial" w:eastAsia="Times New Roman" w:hAnsi="Arial" w:cs="Arial"/>
          <w:color w:val="000000"/>
          <w:sz w:val="24"/>
          <w:szCs w:val="24"/>
          <w:lang w:eastAsia="fr-FR"/>
        </w:rPr>
      </w:pPr>
      <w:r w:rsidRPr="00A21146">
        <w:rPr>
          <w:rFonts w:ascii="Arial" w:eastAsia="Times New Roman" w:hAnsi="Arial" w:cs="Arial"/>
          <w:color w:val="000000"/>
          <w:sz w:val="24"/>
          <w:szCs w:val="24"/>
          <w:lang w:eastAsia="fr-FR"/>
        </w:rPr>
        <w:t>Vous disposez d’un délai de 6 ans pour porter plainte. Pour ce faire, il faut que les faits reprochés entrent bien dans la catégorie d’une infraction.</w:t>
      </w:r>
    </w:p>
    <w:p w14:paraId="73EFF3EE" w14:textId="77777777" w:rsidR="00A21146" w:rsidRPr="00A21146" w:rsidRDefault="00A21146" w:rsidP="00A21146">
      <w:pPr>
        <w:numPr>
          <w:ilvl w:val="0"/>
          <w:numId w:val="18"/>
        </w:numPr>
        <w:spacing w:before="100" w:beforeAutospacing="1" w:after="100" w:afterAutospacing="1" w:line="240" w:lineRule="auto"/>
        <w:jc w:val="both"/>
        <w:rPr>
          <w:rFonts w:ascii="Arial" w:eastAsia="Times New Roman" w:hAnsi="Arial" w:cs="Arial"/>
          <w:color w:val="000000"/>
          <w:sz w:val="24"/>
          <w:szCs w:val="24"/>
          <w:lang w:eastAsia="fr-FR"/>
        </w:rPr>
      </w:pPr>
      <w:r w:rsidRPr="00A21146">
        <w:rPr>
          <w:rFonts w:ascii="Arial" w:eastAsia="Times New Roman" w:hAnsi="Arial" w:cs="Arial"/>
          <w:color w:val="000000"/>
          <w:sz w:val="24"/>
          <w:szCs w:val="24"/>
          <w:lang w:eastAsia="fr-FR"/>
        </w:rPr>
        <w:t>Vous pouvez porter plainte en tant que victime, mais un tiers peut aussi le faire, sans risquer de sanctions professionnelles. Enfin, une association peut aussi intenter une action en justice, tout comme une organisation syndicale dans le domaine du travail.</w:t>
      </w:r>
    </w:p>
    <w:p w14:paraId="576DD63D" w14:textId="77777777" w:rsidR="00A21146" w:rsidRPr="00A21146" w:rsidRDefault="00A21146" w:rsidP="00A21146">
      <w:pPr>
        <w:numPr>
          <w:ilvl w:val="0"/>
          <w:numId w:val="18"/>
        </w:numPr>
        <w:spacing w:before="100" w:beforeAutospacing="1" w:after="100" w:afterAutospacing="1" w:line="240" w:lineRule="auto"/>
        <w:jc w:val="both"/>
        <w:rPr>
          <w:rFonts w:ascii="Arial" w:eastAsia="Times New Roman" w:hAnsi="Arial" w:cs="Arial"/>
          <w:color w:val="000000"/>
          <w:sz w:val="24"/>
          <w:szCs w:val="24"/>
          <w:lang w:eastAsia="fr-FR"/>
        </w:rPr>
      </w:pPr>
      <w:r w:rsidRPr="00A21146">
        <w:rPr>
          <w:rFonts w:ascii="Arial" w:eastAsia="Times New Roman" w:hAnsi="Arial" w:cs="Arial"/>
          <w:color w:val="000000"/>
          <w:sz w:val="24"/>
          <w:szCs w:val="24"/>
          <w:lang w:eastAsia="fr-FR"/>
        </w:rPr>
        <w:t>Le tribunal compétent sera :</w:t>
      </w:r>
    </w:p>
    <w:p w14:paraId="2BC0C7D7" w14:textId="77777777" w:rsidR="00A21146" w:rsidRPr="00A21146" w:rsidRDefault="00A21146" w:rsidP="00A21146">
      <w:pPr>
        <w:numPr>
          <w:ilvl w:val="1"/>
          <w:numId w:val="18"/>
        </w:numPr>
        <w:spacing w:before="100" w:beforeAutospacing="1" w:after="100" w:afterAutospacing="1" w:line="240" w:lineRule="auto"/>
        <w:jc w:val="both"/>
        <w:rPr>
          <w:rFonts w:ascii="Arial" w:eastAsia="Times New Roman" w:hAnsi="Arial" w:cs="Arial"/>
          <w:color w:val="000000"/>
          <w:sz w:val="24"/>
          <w:szCs w:val="24"/>
          <w:lang w:eastAsia="fr-FR"/>
        </w:rPr>
      </w:pPr>
      <w:r w:rsidRPr="00A21146">
        <w:rPr>
          <w:rFonts w:ascii="Arial" w:eastAsia="Times New Roman" w:hAnsi="Arial" w:cs="Arial"/>
          <w:color w:val="000000"/>
          <w:sz w:val="24"/>
          <w:szCs w:val="24"/>
          <w:lang w:eastAsia="fr-FR"/>
        </w:rPr>
        <w:t>Le tribunal administratif pour les agents publics subissant une discrimination au travail et pour les discriminations liées à l’enseignement scolaire</w:t>
      </w:r>
    </w:p>
    <w:p w14:paraId="1DBF493E" w14:textId="77777777" w:rsidR="00A21146" w:rsidRPr="00A21146" w:rsidRDefault="00A21146" w:rsidP="00A21146">
      <w:pPr>
        <w:numPr>
          <w:ilvl w:val="1"/>
          <w:numId w:val="18"/>
        </w:numPr>
        <w:spacing w:before="100" w:beforeAutospacing="1" w:after="100" w:afterAutospacing="1" w:line="240" w:lineRule="auto"/>
        <w:jc w:val="both"/>
        <w:rPr>
          <w:rFonts w:ascii="Arial" w:eastAsia="Times New Roman" w:hAnsi="Arial" w:cs="Arial"/>
          <w:color w:val="000000"/>
          <w:sz w:val="24"/>
          <w:szCs w:val="24"/>
          <w:lang w:eastAsia="fr-FR"/>
        </w:rPr>
      </w:pPr>
      <w:r w:rsidRPr="00A21146">
        <w:rPr>
          <w:rFonts w:ascii="Arial" w:eastAsia="Times New Roman" w:hAnsi="Arial" w:cs="Arial"/>
          <w:color w:val="000000"/>
          <w:sz w:val="24"/>
          <w:szCs w:val="24"/>
          <w:lang w:eastAsia="fr-FR"/>
        </w:rPr>
        <w:t>Le conseil des Prud’hommes pour les travailleurs du secteur privé victimes d’une discrimination au travail</w:t>
      </w:r>
    </w:p>
    <w:p w14:paraId="4E698399" w14:textId="77777777" w:rsidR="00A21146" w:rsidRPr="00A21146" w:rsidRDefault="00A21146" w:rsidP="00A21146">
      <w:pPr>
        <w:numPr>
          <w:ilvl w:val="1"/>
          <w:numId w:val="18"/>
        </w:numPr>
        <w:spacing w:before="100" w:beforeAutospacing="1" w:after="100" w:afterAutospacing="1" w:line="240" w:lineRule="auto"/>
        <w:jc w:val="both"/>
        <w:rPr>
          <w:rFonts w:ascii="Arial" w:eastAsia="Times New Roman" w:hAnsi="Arial" w:cs="Arial"/>
          <w:color w:val="000000"/>
          <w:sz w:val="24"/>
          <w:szCs w:val="24"/>
          <w:lang w:eastAsia="fr-FR"/>
        </w:rPr>
      </w:pPr>
      <w:r w:rsidRPr="00A21146">
        <w:rPr>
          <w:rFonts w:ascii="Arial" w:eastAsia="Times New Roman" w:hAnsi="Arial" w:cs="Arial"/>
          <w:color w:val="000000"/>
          <w:sz w:val="24"/>
          <w:szCs w:val="24"/>
          <w:lang w:eastAsia="fr-FR"/>
        </w:rPr>
        <w:t>Le tribunal d’instance pour les discriminations liées au logement</w:t>
      </w:r>
    </w:p>
    <w:p w14:paraId="40EA67A3" w14:textId="77777777" w:rsidR="00A21146" w:rsidRPr="00A21146" w:rsidRDefault="00A21146" w:rsidP="00A21146">
      <w:pPr>
        <w:numPr>
          <w:ilvl w:val="1"/>
          <w:numId w:val="18"/>
        </w:numPr>
        <w:spacing w:before="100" w:beforeAutospacing="1" w:after="100" w:afterAutospacing="1" w:line="240" w:lineRule="auto"/>
        <w:jc w:val="both"/>
        <w:rPr>
          <w:rFonts w:ascii="Arial" w:eastAsia="Times New Roman" w:hAnsi="Arial" w:cs="Arial"/>
          <w:color w:val="000000"/>
          <w:sz w:val="24"/>
          <w:szCs w:val="24"/>
          <w:lang w:eastAsia="fr-FR"/>
        </w:rPr>
      </w:pPr>
      <w:r w:rsidRPr="00A21146">
        <w:rPr>
          <w:rFonts w:ascii="Arial" w:eastAsia="Times New Roman" w:hAnsi="Arial" w:cs="Arial"/>
          <w:color w:val="000000"/>
          <w:sz w:val="24"/>
          <w:szCs w:val="24"/>
          <w:lang w:eastAsia="fr-FR"/>
        </w:rPr>
        <w:t>Le tribunal correctionnel en cas de recours pénal intenté.</w:t>
      </w:r>
    </w:p>
    <w:p w14:paraId="7B96B6FF" w14:textId="77777777" w:rsidR="00A21146" w:rsidRPr="00A21146" w:rsidRDefault="00A21146" w:rsidP="00A21146">
      <w:pPr>
        <w:numPr>
          <w:ilvl w:val="0"/>
          <w:numId w:val="18"/>
        </w:numPr>
        <w:spacing w:before="100" w:beforeAutospacing="1" w:after="100" w:afterAutospacing="1" w:line="240" w:lineRule="auto"/>
        <w:jc w:val="both"/>
        <w:rPr>
          <w:rFonts w:ascii="Arial" w:eastAsia="Times New Roman" w:hAnsi="Arial" w:cs="Arial"/>
          <w:color w:val="000000"/>
          <w:sz w:val="24"/>
          <w:szCs w:val="24"/>
          <w:lang w:eastAsia="fr-FR"/>
        </w:rPr>
      </w:pPr>
      <w:r w:rsidRPr="00A21146">
        <w:rPr>
          <w:rFonts w:ascii="Arial" w:eastAsia="Times New Roman" w:hAnsi="Arial" w:cs="Arial"/>
          <w:color w:val="000000"/>
          <w:sz w:val="24"/>
          <w:szCs w:val="24"/>
          <w:lang w:eastAsia="fr-FR"/>
        </w:rPr>
        <w:t>Ce sera à la personne accusée de prouver qu’elle n’a pas commis de discrimination en cas de saisine des Prud’hommes ou du Défenseur des droits. Cependant, en cas de recours pénal, c’est la victime qui devra prouver tant la discrimination que son caractère intentionnel, et ce par tout moyen.</w:t>
      </w:r>
    </w:p>
    <w:p w14:paraId="5FF74C38" w14:textId="77777777" w:rsidR="00A21146" w:rsidRPr="00A21146" w:rsidRDefault="00A21146" w:rsidP="00A21146">
      <w:pPr>
        <w:spacing w:before="100" w:beforeAutospacing="1" w:after="100" w:afterAutospacing="1" w:line="240" w:lineRule="auto"/>
        <w:jc w:val="both"/>
        <w:rPr>
          <w:rFonts w:ascii="Arial" w:eastAsia="Times New Roman" w:hAnsi="Arial" w:cs="Arial"/>
          <w:color w:val="000000"/>
          <w:sz w:val="24"/>
          <w:szCs w:val="24"/>
          <w:lang w:eastAsia="fr-FR"/>
        </w:rPr>
      </w:pPr>
      <w:r w:rsidRPr="00A21146">
        <w:rPr>
          <w:rFonts w:ascii="Arial" w:eastAsia="Times New Roman" w:hAnsi="Arial" w:cs="Arial"/>
          <w:color w:val="000000"/>
          <w:sz w:val="24"/>
          <w:szCs w:val="24"/>
          <w:lang w:eastAsia="fr-FR"/>
        </w:rPr>
        <w:t>Cas particulier des agents publics : si vous êtes un agent public et que vous subissez une discrimination, vous pouvez demander la protection fonctionnelle à votre administration.</w:t>
      </w:r>
    </w:p>
    <w:p w14:paraId="46036C90" w14:textId="531BB15D" w:rsidR="00405B4B" w:rsidRPr="0080414B" w:rsidRDefault="00405B4B" w:rsidP="00405B4B">
      <w:pPr>
        <w:pStyle w:val="Titre2"/>
      </w:pPr>
      <w:r>
        <w:lastRenderedPageBreak/>
        <w:t xml:space="preserve">Les sanctions en cas de </w:t>
      </w:r>
      <w:r w:rsidR="00A21146">
        <w:t>discrimination</w:t>
      </w:r>
      <w:r>
        <w:t>.</w:t>
      </w:r>
    </w:p>
    <w:p w14:paraId="385B493C" w14:textId="77777777" w:rsidR="00A21146" w:rsidRPr="00A21146" w:rsidRDefault="00A21146" w:rsidP="00A21146">
      <w:p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A21146">
        <w:rPr>
          <w:rFonts w:ascii="Arial" w:eastAsia="Times New Roman" w:hAnsi="Arial" w:cs="Arial"/>
          <w:color w:val="000000" w:themeColor="text1"/>
          <w:sz w:val="24"/>
          <w:szCs w:val="24"/>
          <w:lang w:eastAsia="fr-FR"/>
        </w:rPr>
        <w:t>Au regard du Code pénal réprimant la discrimination, celle-ci suppose la réunion de trois éléments :</w:t>
      </w:r>
    </w:p>
    <w:p w14:paraId="2115475C" w14:textId="77777777" w:rsidR="00A21146" w:rsidRPr="00A21146" w:rsidRDefault="00A21146" w:rsidP="00A21146">
      <w:pPr>
        <w:numPr>
          <w:ilvl w:val="0"/>
          <w:numId w:val="19"/>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A21146">
        <w:rPr>
          <w:rFonts w:ascii="Arial" w:eastAsia="Times New Roman" w:hAnsi="Arial" w:cs="Arial"/>
          <w:color w:val="000000" w:themeColor="text1"/>
          <w:sz w:val="24"/>
          <w:szCs w:val="24"/>
          <w:lang w:eastAsia="fr-FR"/>
        </w:rPr>
        <w:t>Un traitement moins favorable envers une personne ou un groupe de personnes</w:t>
      </w:r>
    </w:p>
    <w:p w14:paraId="485F4F9D" w14:textId="463F5AD9" w:rsidR="00A21146" w:rsidRPr="00A21146" w:rsidRDefault="00A21146" w:rsidP="00A21146">
      <w:pPr>
        <w:numPr>
          <w:ilvl w:val="0"/>
          <w:numId w:val="19"/>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A21146">
        <w:rPr>
          <w:rFonts w:ascii="Arial" w:eastAsia="Times New Roman" w:hAnsi="Arial" w:cs="Arial"/>
          <w:color w:val="000000" w:themeColor="text1"/>
          <w:sz w:val="24"/>
          <w:szCs w:val="24"/>
          <w:lang w:eastAsia="fr-FR"/>
        </w:rPr>
        <w:t xml:space="preserve">En raison de critères définis par la loi. L’article 225-1 du Code pénal liste les différents critères tels que l’origine, le sexe, la religion, l’orientation sexuelle, ou encore </w:t>
      </w:r>
      <w:r w:rsidRPr="00A21146">
        <w:rPr>
          <w:rFonts w:ascii="Arial" w:eastAsia="Times New Roman" w:hAnsi="Arial" w:cs="Arial"/>
          <w:color w:val="000000" w:themeColor="text1"/>
          <w:sz w:val="24"/>
          <w:szCs w:val="24"/>
          <w:lang w:eastAsia="fr-FR"/>
        </w:rPr>
        <w:t>le handicap</w:t>
      </w:r>
    </w:p>
    <w:p w14:paraId="0B7E26E9" w14:textId="77777777" w:rsidR="00A21146" w:rsidRPr="00A21146" w:rsidRDefault="00A21146" w:rsidP="00A21146">
      <w:pPr>
        <w:numPr>
          <w:ilvl w:val="0"/>
          <w:numId w:val="19"/>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A21146">
        <w:rPr>
          <w:rFonts w:ascii="Arial" w:eastAsia="Times New Roman" w:hAnsi="Arial" w:cs="Arial"/>
          <w:color w:val="000000" w:themeColor="text1"/>
          <w:sz w:val="24"/>
          <w:szCs w:val="24"/>
          <w:lang w:eastAsia="fr-FR"/>
        </w:rPr>
        <w:t>Dans un domaine prévu par la loi (l’emploi, l’accès au logement, …)</w:t>
      </w:r>
    </w:p>
    <w:p w14:paraId="01A76934" w14:textId="77777777" w:rsidR="00A21146" w:rsidRPr="00A21146" w:rsidRDefault="00A21146" w:rsidP="00A21146">
      <w:p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A21146">
        <w:rPr>
          <w:rFonts w:ascii="Arial" w:eastAsia="Times New Roman" w:hAnsi="Arial" w:cs="Arial"/>
          <w:color w:val="000000" w:themeColor="text1"/>
          <w:sz w:val="24"/>
          <w:szCs w:val="24"/>
          <w:lang w:eastAsia="fr-FR"/>
        </w:rPr>
        <w:t>Plus précisément, l’article 225-2 du Code pénal punit de trois ans d’emprisonnement et 45 000 euros d’amende lorsqu’elle consiste à :</w:t>
      </w:r>
    </w:p>
    <w:p w14:paraId="0E7B97FB" w14:textId="77777777" w:rsidR="00A21146" w:rsidRPr="00A21146" w:rsidRDefault="00A21146" w:rsidP="00A21146">
      <w:pPr>
        <w:numPr>
          <w:ilvl w:val="0"/>
          <w:numId w:val="20"/>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A21146">
        <w:rPr>
          <w:rFonts w:ascii="Arial" w:eastAsia="Times New Roman" w:hAnsi="Arial" w:cs="Arial"/>
          <w:color w:val="000000" w:themeColor="text1"/>
          <w:sz w:val="24"/>
          <w:szCs w:val="24"/>
          <w:lang w:eastAsia="fr-FR"/>
        </w:rPr>
        <w:t>Refuser la fourniture d’un bien ou d'un service ;</w:t>
      </w:r>
    </w:p>
    <w:p w14:paraId="3682327B" w14:textId="77777777" w:rsidR="00A21146" w:rsidRPr="00A21146" w:rsidRDefault="00A21146" w:rsidP="00A21146">
      <w:pPr>
        <w:numPr>
          <w:ilvl w:val="0"/>
          <w:numId w:val="20"/>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A21146">
        <w:rPr>
          <w:rFonts w:ascii="Arial" w:eastAsia="Times New Roman" w:hAnsi="Arial" w:cs="Arial"/>
          <w:color w:val="000000" w:themeColor="text1"/>
          <w:sz w:val="24"/>
          <w:szCs w:val="24"/>
          <w:lang w:eastAsia="fr-FR"/>
        </w:rPr>
        <w:t>Entraver l'exercice normal d'une activité économique quelconque ;</w:t>
      </w:r>
    </w:p>
    <w:p w14:paraId="3BD763CD" w14:textId="77777777" w:rsidR="00A21146" w:rsidRPr="00A21146" w:rsidRDefault="00A21146" w:rsidP="00A21146">
      <w:pPr>
        <w:numPr>
          <w:ilvl w:val="0"/>
          <w:numId w:val="20"/>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A21146">
        <w:rPr>
          <w:rFonts w:ascii="Arial" w:eastAsia="Times New Roman" w:hAnsi="Arial" w:cs="Arial"/>
          <w:color w:val="000000" w:themeColor="text1"/>
          <w:sz w:val="24"/>
          <w:szCs w:val="24"/>
          <w:lang w:eastAsia="fr-FR"/>
        </w:rPr>
        <w:t>Refuser d'embaucher, à sanctionner ou à licencier une personne ;</w:t>
      </w:r>
    </w:p>
    <w:p w14:paraId="511C79CD" w14:textId="078D07FC" w:rsidR="00A21146" w:rsidRPr="00A21146" w:rsidRDefault="00A21146" w:rsidP="00A21146">
      <w:pPr>
        <w:numPr>
          <w:ilvl w:val="0"/>
          <w:numId w:val="20"/>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A21146">
        <w:rPr>
          <w:rFonts w:ascii="Arial" w:eastAsia="Times New Roman" w:hAnsi="Arial" w:cs="Arial"/>
          <w:color w:val="000000" w:themeColor="text1"/>
          <w:sz w:val="24"/>
          <w:szCs w:val="24"/>
          <w:lang w:eastAsia="fr-FR"/>
        </w:rPr>
        <w:t>Subordonner la fourniture d'un bien ou d'un service à l’un des critères</w:t>
      </w:r>
    </w:p>
    <w:p w14:paraId="4C798E81" w14:textId="77777777" w:rsidR="00A21146" w:rsidRPr="00A21146" w:rsidRDefault="00A21146" w:rsidP="00A21146">
      <w:pPr>
        <w:numPr>
          <w:ilvl w:val="0"/>
          <w:numId w:val="20"/>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A21146">
        <w:rPr>
          <w:rFonts w:ascii="Arial" w:eastAsia="Times New Roman" w:hAnsi="Arial" w:cs="Arial"/>
          <w:color w:val="000000" w:themeColor="text1"/>
          <w:sz w:val="24"/>
          <w:szCs w:val="24"/>
          <w:lang w:eastAsia="fr-FR"/>
        </w:rPr>
        <w:t>Subordonner une offre d'emploi, une demande de stage ou une période de formation en entreprise à l’un des critères</w:t>
      </w:r>
    </w:p>
    <w:p w14:paraId="6E5CCD51" w14:textId="77777777" w:rsidR="00A21146" w:rsidRPr="00A21146" w:rsidRDefault="00A21146" w:rsidP="00A21146">
      <w:pPr>
        <w:numPr>
          <w:ilvl w:val="0"/>
          <w:numId w:val="20"/>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A21146">
        <w:rPr>
          <w:rFonts w:ascii="Arial" w:eastAsia="Times New Roman" w:hAnsi="Arial" w:cs="Arial"/>
          <w:color w:val="000000" w:themeColor="text1"/>
          <w:sz w:val="24"/>
          <w:szCs w:val="24"/>
          <w:lang w:eastAsia="fr-FR"/>
        </w:rPr>
        <w:t>Refuser d'accepter une personne à l'un des stages visés par le 2° de l'article L.412-8 du code de la sécurité sociale.</w:t>
      </w:r>
    </w:p>
    <w:p w14:paraId="128AA7E8" w14:textId="77777777" w:rsidR="002B0FF4" w:rsidRPr="00A21146" w:rsidRDefault="002B0FF4" w:rsidP="00A21146">
      <w:pPr>
        <w:spacing w:line="240" w:lineRule="auto"/>
        <w:jc w:val="both"/>
        <w:rPr>
          <w:rFonts w:ascii="Arial" w:hAnsi="Arial" w:cs="Arial"/>
          <w:color w:val="000000" w:themeColor="text1"/>
        </w:rPr>
      </w:pPr>
    </w:p>
    <w:sectPr w:rsidR="002B0FF4" w:rsidRPr="00A21146">
      <w:foot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268955"/>
      <w:docPartObj>
        <w:docPartGallery w:val="Page Numbers (Bottom of Page)"/>
        <w:docPartUnique/>
      </w:docPartObj>
    </w:sdtPr>
    <w:sdtEndPr/>
    <w:sdtContent>
      <w:p w14:paraId="261E4F7A" w14:textId="77777777" w:rsidR="002C5ED4" w:rsidRDefault="00A21146">
        <w:pPr>
          <w:pStyle w:val="Pieddepage"/>
          <w:jc w:val="center"/>
        </w:pPr>
        <w:r>
          <w:fldChar w:fldCharType="begin"/>
        </w:r>
        <w:r>
          <w:instrText>PAGE   \* MERGEFORMAT</w:instrText>
        </w:r>
        <w:r>
          <w:fldChar w:fldCharType="separate"/>
        </w:r>
        <w:r>
          <w:t>2</w:t>
        </w:r>
        <w:r>
          <w:fldChar w:fldCharType="end"/>
        </w:r>
      </w:p>
    </w:sdtContent>
  </w:sdt>
  <w:p w14:paraId="73DBB8C2" w14:textId="77777777" w:rsidR="002C5ED4" w:rsidRDefault="00A21146">
    <w:pPr>
      <w:pStyle w:val="Pieddepag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3E18"/>
    <w:multiLevelType w:val="multilevel"/>
    <w:tmpl w:val="AE5C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410ED"/>
    <w:multiLevelType w:val="multilevel"/>
    <w:tmpl w:val="F38A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51261"/>
    <w:multiLevelType w:val="multilevel"/>
    <w:tmpl w:val="7C205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87B03"/>
    <w:multiLevelType w:val="multilevel"/>
    <w:tmpl w:val="F1BA1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2D3570"/>
    <w:multiLevelType w:val="multilevel"/>
    <w:tmpl w:val="A9D86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A44C1B"/>
    <w:multiLevelType w:val="multilevel"/>
    <w:tmpl w:val="CF12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002D63"/>
    <w:multiLevelType w:val="multilevel"/>
    <w:tmpl w:val="EE96B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964DCB"/>
    <w:multiLevelType w:val="multilevel"/>
    <w:tmpl w:val="4796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1A5461"/>
    <w:multiLevelType w:val="multilevel"/>
    <w:tmpl w:val="9D7AB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52405D"/>
    <w:multiLevelType w:val="multilevel"/>
    <w:tmpl w:val="0350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763234"/>
    <w:multiLevelType w:val="multilevel"/>
    <w:tmpl w:val="75DA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FC6A53"/>
    <w:multiLevelType w:val="hybridMultilevel"/>
    <w:tmpl w:val="FCE81104"/>
    <w:lvl w:ilvl="0" w:tplc="4170C430">
      <w:start w:val="1"/>
      <w:numFmt w:val="bullet"/>
      <w:lvlText w:val=""/>
      <w:lvlJc w:val="left"/>
      <w:pPr>
        <w:ind w:left="720" w:hanging="360"/>
      </w:pPr>
      <w:rPr>
        <w:rFonts w:ascii="Symbol" w:hAnsi="Symbol"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89E0009"/>
    <w:multiLevelType w:val="multilevel"/>
    <w:tmpl w:val="EBD8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45593D"/>
    <w:multiLevelType w:val="multilevel"/>
    <w:tmpl w:val="8B20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BA5673"/>
    <w:multiLevelType w:val="multilevel"/>
    <w:tmpl w:val="852A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FB387A"/>
    <w:multiLevelType w:val="multilevel"/>
    <w:tmpl w:val="D93E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72508A"/>
    <w:multiLevelType w:val="multilevel"/>
    <w:tmpl w:val="E410C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E34389"/>
    <w:multiLevelType w:val="multilevel"/>
    <w:tmpl w:val="2F4C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2B2580"/>
    <w:multiLevelType w:val="hybridMultilevel"/>
    <w:tmpl w:val="D2823E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CC440FC"/>
    <w:multiLevelType w:val="hybridMultilevel"/>
    <w:tmpl w:val="704459E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6"/>
  </w:num>
  <w:num w:numId="4">
    <w:abstractNumId w:val="10"/>
  </w:num>
  <w:num w:numId="5">
    <w:abstractNumId w:val="5"/>
  </w:num>
  <w:num w:numId="6">
    <w:abstractNumId w:val="9"/>
  </w:num>
  <w:num w:numId="7">
    <w:abstractNumId w:val="14"/>
  </w:num>
  <w:num w:numId="8">
    <w:abstractNumId w:val="8"/>
  </w:num>
  <w:num w:numId="9">
    <w:abstractNumId w:val="7"/>
  </w:num>
  <w:num w:numId="10">
    <w:abstractNumId w:val="2"/>
  </w:num>
  <w:num w:numId="11">
    <w:abstractNumId w:val="1"/>
  </w:num>
  <w:num w:numId="12">
    <w:abstractNumId w:val="0"/>
  </w:num>
  <w:num w:numId="13">
    <w:abstractNumId w:val="15"/>
  </w:num>
  <w:num w:numId="14">
    <w:abstractNumId w:val="17"/>
  </w:num>
  <w:num w:numId="15">
    <w:abstractNumId w:val="19"/>
  </w:num>
  <w:num w:numId="16">
    <w:abstractNumId w:val="11"/>
  </w:num>
  <w:num w:numId="17">
    <w:abstractNumId w:val="18"/>
  </w:num>
  <w:num w:numId="18">
    <w:abstractNumId w:val="16"/>
  </w:num>
  <w:num w:numId="19">
    <w:abstractNumId w:val="1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B4B"/>
    <w:rsid w:val="002B0FF4"/>
    <w:rsid w:val="00405B4B"/>
    <w:rsid w:val="0048086E"/>
    <w:rsid w:val="00601E34"/>
    <w:rsid w:val="00A21146"/>
    <w:rsid w:val="00F54C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F2E3C24"/>
  <w15:chartTrackingRefBased/>
  <w15:docId w15:val="{5FA1FF60-76C3-D34B-AB93-8F4B39C88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B4B"/>
    <w:pPr>
      <w:spacing w:after="200" w:line="276" w:lineRule="auto"/>
    </w:pPr>
    <w:rPr>
      <w:sz w:val="22"/>
      <w:szCs w:val="22"/>
    </w:rPr>
  </w:style>
  <w:style w:type="paragraph" w:styleId="Titre1">
    <w:name w:val="heading 1"/>
    <w:basedOn w:val="Normal"/>
    <w:next w:val="Normal"/>
    <w:link w:val="Titre1Car"/>
    <w:uiPriority w:val="9"/>
    <w:qFormat/>
    <w:rsid w:val="00405B4B"/>
    <w:pPr>
      <w:keepNext/>
      <w:keepLines/>
      <w:spacing w:before="240" w:after="0"/>
      <w:jc w:val="center"/>
      <w:outlineLvl w:val="0"/>
    </w:pPr>
    <w:rPr>
      <w:rFonts w:ascii="Arial" w:eastAsiaTheme="majorEastAsia" w:hAnsi="Arial" w:cstheme="majorBidi"/>
      <w:b/>
      <w:sz w:val="32"/>
      <w:szCs w:val="32"/>
      <w:u w:val="single"/>
    </w:rPr>
  </w:style>
  <w:style w:type="paragraph" w:styleId="Titre2">
    <w:name w:val="heading 2"/>
    <w:basedOn w:val="Normal"/>
    <w:next w:val="Normal"/>
    <w:link w:val="Titre2Car"/>
    <w:uiPriority w:val="9"/>
    <w:unhideWhenUsed/>
    <w:qFormat/>
    <w:rsid w:val="00405B4B"/>
    <w:pPr>
      <w:keepNext/>
      <w:keepLines/>
      <w:spacing w:before="40" w:after="0"/>
      <w:outlineLvl w:val="1"/>
    </w:pPr>
    <w:rPr>
      <w:rFonts w:ascii="Arial" w:eastAsiaTheme="majorEastAsia" w:hAnsi="Arial" w:cstheme="majorBidi"/>
      <w:b/>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5B4B"/>
    <w:rPr>
      <w:rFonts w:ascii="Arial" w:eastAsiaTheme="majorEastAsia" w:hAnsi="Arial" w:cstheme="majorBidi"/>
      <w:b/>
      <w:sz w:val="32"/>
      <w:szCs w:val="32"/>
      <w:u w:val="single"/>
    </w:rPr>
  </w:style>
  <w:style w:type="character" w:customStyle="1" w:styleId="Titre2Car">
    <w:name w:val="Titre 2 Car"/>
    <w:basedOn w:val="Policepardfaut"/>
    <w:link w:val="Titre2"/>
    <w:uiPriority w:val="9"/>
    <w:rsid w:val="00405B4B"/>
    <w:rPr>
      <w:rFonts w:ascii="Arial" w:eastAsiaTheme="majorEastAsia" w:hAnsi="Arial" w:cstheme="majorBidi"/>
      <w:b/>
      <w:sz w:val="26"/>
      <w:szCs w:val="26"/>
    </w:rPr>
  </w:style>
  <w:style w:type="character" w:styleId="Lienhypertexte">
    <w:name w:val="Hyperlink"/>
    <w:basedOn w:val="Policepardfaut"/>
    <w:uiPriority w:val="99"/>
    <w:unhideWhenUsed/>
    <w:rsid w:val="00405B4B"/>
    <w:rPr>
      <w:color w:val="0563C1" w:themeColor="hyperlink"/>
      <w:u w:val="single"/>
    </w:rPr>
  </w:style>
  <w:style w:type="paragraph" w:styleId="Pieddepage">
    <w:name w:val="footer"/>
    <w:basedOn w:val="Normal"/>
    <w:link w:val="PieddepageCar"/>
    <w:uiPriority w:val="99"/>
    <w:unhideWhenUsed/>
    <w:rsid w:val="00405B4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05B4B"/>
    <w:rPr>
      <w:sz w:val="22"/>
      <w:szCs w:val="22"/>
    </w:rPr>
  </w:style>
  <w:style w:type="paragraph" w:customStyle="1" w:styleId="04xlpa">
    <w:name w:val="_04xlpa"/>
    <w:basedOn w:val="Normal"/>
    <w:rsid w:val="00405B4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jsgrdq">
    <w:name w:val="jsgrdq"/>
    <w:basedOn w:val="Policepardfaut"/>
    <w:rsid w:val="00405B4B"/>
  </w:style>
  <w:style w:type="character" w:customStyle="1" w:styleId="apple-converted-space">
    <w:name w:val="apple-converted-space"/>
    <w:basedOn w:val="Policepardfaut"/>
    <w:rsid w:val="00405B4B"/>
  </w:style>
  <w:style w:type="paragraph" w:styleId="Paragraphedeliste">
    <w:name w:val="List Paragraph"/>
    <w:basedOn w:val="Normal"/>
    <w:uiPriority w:val="34"/>
    <w:qFormat/>
    <w:rsid w:val="00A211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88003">
      <w:bodyDiv w:val="1"/>
      <w:marLeft w:val="0"/>
      <w:marRight w:val="0"/>
      <w:marTop w:val="0"/>
      <w:marBottom w:val="0"/>
      <w:divBdr>
        <w:top w:val="none" w:sz="0" w:space="0" w:color="auto"/>
        <w:left w:val="none" w:sz="0" w:space="0" w:color="auto"/>
        <w:bottom w:val="none" w:sz="0" w:space="0" w:color="auto"/>
        <w:right w:val="none" w:sz="0" w:space="0" w:color="auto"/>
      </w:divBdr>
    </w:div>
    <w:div w:id="454640659">
      <w:bodyDiv w:val="1"/>
      <w:marLeft w:val="0"/>
      <w:marRight w:val="0"/>
      <w:marTop w:val="0"/>
      <w:marBottom w:val="0"/>
      <w:divBdr>
        <w:top w:val="none" w:sz="0" w:space="0" w:color="auto"/>
        <w:left w:val="none" w:sz="0" w:space="0" w:color="auto"/>
        <w:bottom w:val="none" w:sz="0" w:space="0" w:color="auto"/>
        <w:right w:val="none" w:sz="0" w:space="0" w:color="auto"/>
      </w:divBdr>
    </w:div>
    <w:div w:id="1080057288">
      <w:bodyDiv w:val="1"/>
      <w:marLeft w:val="0"/>
      <w:marRight w:val="0"/>
      <w:marTop w:val="0"/>
      <w:marBottom w:val="0"/>
      <w:divBdr>
        <w:top w:val="none" w:sz="0" w:space="0" w:color="auto"/>
        <w:left w:val="none" w:sz="0" w:space="0" w:color="auto"/>
        <w:bottom w:val="none" w:sz="0" w:space="0" w:color="auto"/>
        <w:right w:val="none" w:sz="0" w:space="0" w:color="auto"/>
      </w:divBdr>
    </w:div>
    <w:div w:id="1363363334">
      <w:bodyDiv w:val="1"/>
      <w:marLeft w:val="0"/>
      <w:marRight w:val="0"/>
      <w:marTop w:val="0"/>
      <w:marBottom w:val="0"/>
      <w:divBdr>
        <w:top w:val="none" w:sz="0" w:space="0" w:color="auto"/>
        <w:left w:val="none" w:sz="0" w:space="0" w:color="auto"/>
        <w:bottom w:val="none" w:sz="0" w:space="0" w:color="auto"/>
        <w:right w:val="none" w:sz="0" w:space="0" w:color="auto"/>
      </w:divBdr>
    </w:div>
    <w:div w:id="1415584970">
      <w:bodyDiv w:val="1"/>
      <w:marLeft w:val="0"/>
      <w:marRight w:val="0"/>
      <w:marTop w:val="0"/>
      <w:marBottom w:val="0"/>
      <w:divBdr>
        <w:top w:val="none" w:sz="0" w:space="0" w:color="auto"/>
        <w:left w:val="none" w:sz="0" w:space="0" w:color="auto"/>
        <w:bottom w:val="none" w:sz="0" w:space="0" w:color="auto"/>
        <w:right w:val="none" w:sz="0" w:space="0" w:color="auto"/>
      </w:divBdr>
    </w:div>
    <w:div w:id="1930655090">
      <w:bodyDiv w:val="1"/>
      <w:marLeft w:val="0"/>
      <w:marRight w:val="0"/>
      <w:marTop w:val="0"/>
      <w:marBottom w:val="0"/>
      <w:divBdr>
        <w:top w:val="none" w:sz="0" w:space="0" w:color="auto"/>
        <w:left w:val="none" w:sz="0" w:space="0" w:color="auto"/>
        <w:bottom w:val="none" w:sz="0" w:space="0" w:color="auto"/>
        <w:right w:val="none" w:sz="0" w:space="0" w:color="auto"/>
      </w:divBdr>
    </w:div>
    <w:div w:id="1938754018">
      <w:bodyDiv w:val="1"/>
      <w:marLeft w:val="0"/>
      <w:marRight w:val="0"/>
      <w:marTop w:val="0"/>
      <w:marBottom w:val="0"/>
      <w:divBdr>
        <w:top w:val="none" w:sz="0" w:space="0" w:color="auto"/>
        <w:left w:val="none" w:sz="0" w:space="0" w:color="auto"/>
        <w:bottom w:val="none" w:sz="0" w:space="0" w:color="auto"/>
        <w:right w:val="none" w:sz="0" w:space="0" w:color="auto"/>
      </w:divBdr>
    </w:div>
    <w:div w:id="194819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893</Words>
  <Characters>4917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Léa Mercado</dc:creator>
  <cp:keywords/>
  <dc:description/>
  <cp:lastModifiedBy>Léa Mercado</cp:lastModifiedBy>
  <cp:revision>3</cp:revision>
  <dcterms:created xsi:type="dcterms:W3CDTF">2022-04-27T11:34:00Z</dcterms:created>
  <dcterms:modified xsi:type="dcterms:W3CDTF">2022-04-27T13:39:00Z</dcterms:modified>
</cp:coreProperties>
</file>