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CBE4" w14:textId="3F8C2413" w:rsidR="00405B4B" w:rsidRPr="002C5ED4" w:rsidRDefault="00405B4B" w:rsidP="00405B4B">
      <w:pPr>
        <w:pStyle w:val="Titre1"/>
      </w:pPr>
      <w:r w:rsidRPr="002C5ED4">
        <w:t xml:space="preserve">Fiche - </w:t>
      </w:r>
      <w:r>
        <w:t>Adaptation du lieu de travail</w:t>
      </w:r>
    </w:p>
    <w:p w14:paraId="1D06E769" w14:textId="77777777" w:rsidR="00405B4B" w:rsidRPr="0080414B" w:rsidRDefault="00405B4B" w:rsidP="00405B4B">
      <w:pPr>
        <w:jc w:val="both"/>
      </w:pPr>
    </w:p>
    <w:p w14:paraId="2CE86B1B" w14:textId="49D11345" w:rsidR="00405B4B" w:rsidRPr="0080414B" w:rsidRDefault="00405B4B" w:rsidP="00405B4B">
      <w:pPr>
        <w:pStyle w:val="Titre2"/>
        <w:jc w:val="both"/>
      </w:pPr>
      <w:r>
        <w:t>Consécration de l’obligation</w:t>
      </w:r>
    </w:p>
    <w:p w14:paraId="45105EC5"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sz w:val="24"/>
          <w:szCs w:val="24"/>
          <w:lang w:eastAsia="fr-FR"/>
        </w:rPr>
      </w:pPr>
      <w:r w:rsidRPr="00405B4B">
        <w:rPr>
          <w:rFonts w:ascii="Arial" w:eastAsia="Times New Roman" w:hAnsi="Arial" w:cs="Arial"/>
          <w:color w:val="000000"/>
          <w:sz w:val="24"/>
          <w:szCs w:val="24"/>
          <w:lang w:eastAsia="fr-FR"/>
        </w:rPr>
        <w:t>L’obligation d’aménagement de poste est aujourd’hui codifiée à l’article L.5213-6 du Code du travail pour les employeurs privés et à l’article 6 de la loi n°83-634 du 13 juillet 1983 pour la fonction publique.</w:t>
      </w:r>
    </w:p>
    <w:p w14:paraId="20108D46"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sz w:val="24"/>
          <w:szCs w:val="24"/>
          <w:lang w:eastAsia="fr-FR"/>
        </w:rPr>
      </w:pPr>
      <w:r w:rsidRPr="00405B4B">
        <w:rPr>
          <w:rFonts w:ascii="Arial" w:eastAsia="Times New Roman" w:hAnsi="Arial" w:cs="Arial"/>
          <w:color w:val="000000"/>
          <w:sz w:val="24"/>
          <w:szCs w:val="24"/>
          <w:lang w:eastAsia="fr-FR"/>
        </w:rPr>
        <w:t>Ainsi, l’employeur doit aménager le poste de travail pour :</w:t>
      </w:r>
    </w:p>
    <w:p w14:paraId="36088AE0" w14:textId="77777777" w:rsidR="00405B4B" w:rsidRPr="00405B4B" w:rsidRDefault="00405B4B" w:rsidP="00405B4B">
      <w:pPr>
        <w:numPr>
          <w:ilvl w:val="0"/>
          <w:numId w:val="9"/>
        </w:numPr>
        <w:spacing w:before="100" w:beforeAutospacing="1" w:after="100" w:afterAutospacing="1" w:line="240" w:lineRule="auto"/>
        <w:jc w:val="both"/>
        <w:rPr>
          <w:rFonts w:ascii="Arial" w:eastAsia="Times New Roman" w:hAnsi="Arial" w:cs="Arial"/>
          <w:color w:val="000000"/>
          <w:sz w:val="24"/>
          <w:szCs w:val="24"/>
          <w:lang w:eastAsia="fr-FR"/>
        </w:rPr>
      </w:pPr>
      <w:r w:rsidRPr="00405B4B">
        <w:rPr>
          <w:rFonts w:ascii="Arial" w:eastAsia="Times New Roman" w:hAnsi="Arial" w:cs="Arial"/>
          <w:color w:val="000000"/>
          <w:sz w:val="24"/>
          <w:szCs w:val="24"/>
          <w:lang w:eastAsia="fr-FR"/>
        </w:rPr>
        <w:t>l’insertion en cas de nouvelle embauche</w:t>
      </w:r>
    </w:p>
    <w:p w14:paraId="00C4820E" w14:textId="77777777" w:rsidR="00405B4B" w:rsidRPr="00405B4B" w:rsidRDefault="00405B4B" w:rsidP="00405B4B">
      <w:pPr>
        <w:numPr>
          <w:ilvl w:val="0"/>
          <w:numId w:val="9"/>
        </w:numPr>
        <w:spacing w:before="100" w:beforeAutospacing="1" w:after="100" w:afterAutospacing="1" w:line="240" w:lineRule="auto"/>
        <w:jc w:val="both"/>
        <w:rPr>
          <w:rFonts w:ascii="Arial" w:eastAsia="Times New Roman" w:hAnsi="Arial" w:cs="Arial"/>
          <w:color w:val="000000"/>
          <w:sz w:val="24"/>
          <w:szCs w:val="24"/>
          <w:lang w:eastAsia="fr-FR"/>
        </w:rPr>
      </w:pPr>
      <w:r w:rsidRPr="00405B4B">
        <w:rPr>
          <w:rFonts w:ascii="Arial" w:eastAsia="Times New Roman" w:hAnsi="Arial" w:cs="Arial"/>
          <w:color w:val="000000"/>
          <w:sz w:val="24"/>
          <w:szCs w:val="24"/>
          <w:lang w:eastAsia="fr-FR"/>
        </w:rPr>
        <w:t>son maintien dans l’entreprise en cas de survenance ou d’évolution du handicap</w:t>
      </w:r>
    </w:p>
    <w:p w14:paraId="0DBDFBED"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sz w:val="24"/>
          <w:szCs w:val="24"/>
          <w:lang w:eastAsia="fr-FR"/>
        </w:rPr>
      </w:pPr>
      <w:r w:rsidRPr="00405B4B">
        <w:rPr>
          <w:rFonts w:ascii="Arial" w:eastAsia="Times New Roman" w:hAnsi="Arial" w:cs="Arial"/>
          <w:color w:val="000000"/>
          <w:sz w:val="24"/>
          <w:szCs w:val="24"/>
          <w:lang w:eastAsia="fr-FR"/>
        </w:rPr>
        <w:t>Cet aménagement prend deux formes :</w:t>
      </w:r>
    </w:p>
    <w:p w14:paraId="4C766659" w14:textId="77777777" w:rsidR="00405B4B" w:rsidRPr="00405B4B" w:rsidRDefault="00405B4B" w:rsidP="00405B4B">
      <w:pPr>
        <w:numPr>
          <w:ilvl w:val="0"/>
          <w:numId w:val="10"/>
        </w:numPr>
        <w:spacing w:before="100" w:beforeAutospacing="1" w:after="100" w:afterAutospacing="1" w:line="240" w:lineRule="auto"/>
        <w:jc w:val="both"/>
        <w:rPr>
          <w:rFonts w:ascii="Arial" w:eastAsia="Times New Roman" w:hAnsi="Arial" w:cs="Arial"/>
          <w:color w:val="000000"/>
          <w:sz w:val="24"/>
          <w:szCs w:val="24"/>
          <w:lang w:eastAsia="fr-FR"/>
        </w:rPr>
      </w:pPr>
      <w:r w:rsidRPr="00405B4B">
        <w:rPr>
          <w:rFonts w:ascii="Arial" w:eastAsia="Times New Roman" w:hAnsi="Arial" w:cs="Arial"/>
          <w:color w:val="000000"/>
          <w:sz w:val="24"/>
          <w:szCs w:val="24"/>
          <w:lang w:eastAsia="fr-FR"/>
        </w:rPr>
        <w:t>organisation du temps de travail : il peut pour cela conclure un contrat de travail à temps partiel ou aménager les plages horaires</w:t>
      </w:r>
    </w:p>
    <w:p w14:paraId="754152F6" w14:textId="77777777" w:rsidR="00405B4B" w:rsidRPr="00405B4B" w:rsidRDefault="00405B4B" w:rsidP="00405B4B">
      <w:pPr>
        <w:numPr>
          <w:ilvl w:val="0"/>
          <w:numId w:val="10"/>
        </w:numPr>
        <w:spacing w:before="100" w:beforeAutospacing="1" w:after="100" w:afterAutospacing="1" w:line="240" w:lineRule="auto"/>
        <w:jc w:val="both"/>
        <w:rPr>
          <w:rFonts w:ascii="Arial" w:eastAsia="Times New Roman" w:hAnsi="Arial" w:cs="Arial"/>
          <w:color w:val="000000"/>
          <w:sz w:val="24"/>
          <w:szCs w:val="24"/>
          <w:lang w:eastAsia="fr-FR"/>
        </w:rPr>
      </w:pPr>
      <w:r w:rsidRPr="00405B4B">
        <w:rPr>
          <w:rFonts w:ascii="Arial" w:eastAsia="Times New Roman" w:hAnsi="Arial" w:cs="Arial"/>
          <w:color w:val="000000"/>
          <w:sz w:val="24"/>
          <w:szCs w:val="24"/>
          <w:lang w:eastAsia="fr-FR"/>
        </w:rPr>
        <w:t>adaptation du poste du travail : il peut installer notamment des équipements adaptés ou encore délivrer des formations.</w:t>
      </w:r>
    </w:p>
    <w:p w14:paraId="0B901FE7" w14:textId="119ACAA1" w:rsidR="00405B4B" w:rsidRPr="0080414B" w:rsidRDefault="00405B4B" w:rsidP="00405B4B">
      <w:pPr>
        <w:pStyle w:val="Titre2"/>
        <w:jc w:val="both"/>
      </w:pPr>
      <w:r>
        <w:t>Champs d’application de l’obligation</w:t>
      </w:r>
    </w:p>
    <w:p w14:paraId="3E5EAB0C" w14:textId="7A86D241" w:rsidR="00405B4B" w:rsidRPr="00405B4B" w:rsidRDefault="00405B4B" w:rsidP="00405B4B">
      <w:pPr>
        <w:pStyle w:val="04xlpa"/>
        <w:jc w:val="both"/>
        <w:rPr>
          <w:rFonts w:ascii="Arial" w:hAnsi="Arial" w:cs="Arial"/>
          <w:color w:val="000000" w:themeColor="text1"/>
        </w:rPr>
      </w:pPr>
      <w:r w:rsidRPr="00405B4B">
        <w:rPr>
          <w:rFonts w:ascii="Arial" w:hAnsi="Arial" w:cs="Arial"/>
          <w:color w:val="000000" w:themeColor="text1"/>
        </w:rPr>
        <w:t>Les personnes concernées :</w:t>
      </w:r>
    </w:p>
    <w:p w14:paraId="50D4CD24" w14:textId="77777777" w:rsidR="00405B4B" w:rsidRPr="00405B4B" w:rsidRDefault="00405B4B" w:rsidP="00405B4B">
      <w:pPr>
        <w:numPr>
          <w:ilvl w:val="0"/>
          <w:numId w:val="11"/>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405B4B">
        <w:rPr>
          <w:rFonts w:ascii="Arial" w:eastAsia="Times New Roman" w:hAnsi="Arial" w:cs="Arial"/>
          <w:color w:val="000000" w:themeColor="text1"/>
          <w:sz w:val="24"/>
          <w:szCs w:val="24"/>
          <w:lang w:eastAsia="fr-FR"/>
        </w:rPr>
        <w:t>Toutes les entreprises sont concernées par cette obligation, y compris celles non soumises à l’obligation d’emploi.</w:t>
      </w:r>
    </w:p>
    <w:p w14:paraId="0ECEB97E" w14:textId="77777777" w:rsidR="00405B4B" w:rsidRPr="00405B4B" w:rsidRDefault="00405B4B" w:rsidP="00405B4B">
      <w:pPr>
        <w:numPr>
          <w:ilvl w:val="0"/>
          <w:numId w:val="12"/>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405B4B">
        <w:rPr>
          <w:rFonts w:ascii="Arial" w:eastAsia="Times New Roman" w:hAnsi="Arial" w:cs="Arial"/>
          <w:color w:val="000000" w:themeColor="text1"/>
          <w:sz w:val="24"/>
          <w:szCs w:val="24"/>
          <w:lang w:eastAsia="fr-FR"/>
        </w:rPr>
        <w:t>Seuls les travailleurs reconnus administrativement comme personne en situation de handicap au sens de l’article 114 du Code de l’action sociale et des familles ont un droit à l’adaptation du poste de travail.</w:t>
      </w:r>
    </w:p>
    <w:p w14:paraId="2BAEE154"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405B4B">
        <w:rPr>
          <w:rFonts w:ascii="Apple Color Emoji" w:eastAsia="Times New Roman" w:hAnsi="Apple Color Emoji" w:cs="Apple Color Emoji"/>
          <w:color w:val="000000" w:themeColor="text1"/>
          <w:sz w:val="24"/>
          <w:szCs w:val="24"/>
          <w:lang w:eastAsia="fr-FR"/>
        </w:rPr>
        <w:t>⚠️</w:t>
      </w:r>
      <w:r w:rsidRPr="00405B4B">
        <w:rPr>
          <w:rFonts w:ascii="Arial" w:eastAsia="Times New Roman" w:hAnsi="Arial" w:cs="Arial"/>
          <w:color w:val="000000" w:themeColor="text1"/>
          <w:sz w:val="24"/>
          <w:szCs w:val="24"/>
          <w:lang w:eastAsia="fr-FR"/>
        </w:rPr>
        <w:t xml:space="preserve"> Toutefois, une nuance est à faire puisque l’absence de d’aménagement pourrait aussi constituer une discrimination fondée sur l’état de santé du salarié, en dehors de toute reconnaissance administrative du handicap.</w:t>
      </w:r>
    </w:p>
    <w:p w14:paraId="6F072316" w14:textId="783EA66A" w:rsidR="00405B4B" w:rsidRPr="00405B4B" w:rsidRDefault="00405B4B" w:rsidP="00405B4B">
      <w:pPr>
        <w:spacing w:before="100" w:beforeAutospacing="1" w:after="100" w:afterAutospacing="1" w:line="240" w:lineRule="auto"/>
        <w:jc w:val="both"/>
        <w:rPr>
          <w:rFonts w:ascii="Arial" w:eastAsia="Times New Roman" w:hAnsi="Arial" w:cs="Arial"/>
          <w:color w:val="000000" w:themeColor="text1"/>
          <w:sz w:val="24"/>
          <w:szCs w:val="24"/>
          <w:u w:val="single"/>
          <w:lang w:eastAsia="fr-FR"/>
        </w:rPr>
      </w:pPr>
      <w:r w:rsidRPr="00405B4B">
        <w:rPr>
          <w:rFonts w:ascii="Arial" w:eastAsia="Times New Roman" w:hAnsi="Arial" w:cs="Arial"/>
          <w:color w:val="000000" w:themeColor="text1"/>
          <w:sz w:val="24"/>
          <w:szCs w:val="24"/>
          <w:u w:val="single"/>
          <w:lang w:eastAsia="fr-FR"/>
        </w:rPr>
        <w:t>Le début de l’obligation</w:t>
      </w:r>
      <w:r w:rsidRPr="00405B4B">
        <w:rPr>
          <w:rFonts w:ascii="Arial" w:eastAsia="Times New Roman" w:hAnsi="Arial" w:cs="Arial"/>
          <w:color w:val="000000" w:themeColor="text1"/>
          <w:sz w:val="24"/>
          <w:szCs w:val="24"/>
          <w:u w:val="single"/>
          <w:lang w:eastAsia="fr-FR"/>
        </w:rPr>
        <w:t> :</w:t>
      </w:r>
    </w:p>
    <w:p w14:paraId="7FD9FF72"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405B4B">
        <w:rPr>
          <w:rFonts w:ascii="Arial" w:eastAsia="Times New Roman" w:hAnsi="Arial" w:cs="Arial"/>
          <w:color w:val="000000" w:themeColor="text1"/>
          <w:sz w:val="24"/>
          <w:szCs w:val="24"/>
          <w:lang w:eastAsia="fr-FR"/>
        </w:rPr>
        <w:t>Elle s’impose dès que l’employeur en a connaissance.</w:t>
      </w:r>
    </w:p>
    <w:p w14:paraId="6929AD60"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405B4B">
        <w:rPr>
          <w:rFonts w:ascii="Arial" w:eastAsia="Times New Roman" w:hAnsi="Arial" w:cs="Arial"/>
          <w:color w:val="000000" w:themeColor="text1"/>
          <w:sz w:val="24"/>
          <w:szCs w:val="24"/>
          <w:lang w:eastAsia="fr-FR"/>
        </w:rPr>
        <w:t>Or, depuis le 1er janvier 2020, toutes les entreprises ont l’obligation de déclarer les salariés en situation de handicap, quelle que soit la nature du contrat de travail (CDD, CDI…).</w:t>
      </w:r>
    </w:p>
    <w:p w14:paraId="7EED2A8A" w14:textId="16832001" w:rsidR="00405B4B" w:rsidRDefault="00405B4B" w:rsidP="00405B4B">
      <w:p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405B4B">
        <w:rPr>
          <w:rFonts w:ascii="Arial" w:eastAsia="Times New Roman" w:hAnsi="Arial" w:cs="Arial"/>
          <w:color w:val="000000" w:themeColor="text1"/>
          <w:sz w:val="24"/>
          <w:szCs w:val="24"/>
          <w:lang w:eastAsia="fr-FR"/>
        </w:rPr>
        <w:t>La question se pose surtout en cas de prise de poste et de période d’essai.</w:t>
      </w:r>
    </w:p>
    <w:p w14:paraId="3F6F84A1"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themeColor="text1"/>
          <w:sz w:val="24"/>
          <w:szCs w:val="24"/>
          <w:lang w:eastAsia="fr-FR"/>
        </w:rPr>
      </w:pPr>
    </w:p>
    <w:p w14:paraId="6B85FB33"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themeColor="text1"/>
          <w:sz w:val="24"/>
          <w:szCs w:val="24"/>
          <w:u w:val="single"/>
          <w:lang w:eastAsia="fr-FR"/>
        </w:rPr>
      </w:pPr>
      <w:r w:rsidRPr="00405B4B">
        <w:rPr>
          <w:rFonts w:ascii="Arial" w:eastAsia="Times New Roman" w:hAnsi="Arial" w:cs="Arial"/>
          <w:color w:val="000000" w:themeColor="text1"/>
          <w:sz w:val="24"/>
          <w:szCs w:val="24"/>
          <w:u w:val="single"/>
          <w:lang w:eastAsia="fr-FR"/>
        </w:rPr>
        <w:lastRenderedPageBreak/>
        <w:t>L’étendue de l’obligation d’aménagement :</w:t>
      </w:r>
    </w:p>
    <w:p w14:paraId="0E02B22A" w14:textId="3E5EA34B" w:rsidR="00405B4B" w:rsidRPr="00405B4B" w:rsidRDefault="00405B4B" w:rsidP="00405B4B">
      <w:p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405B4B">
        <w:rPr>
          <w:rFonts w:ascii="Arial" w:eastAsia="Times New Roman" w:hAnsi="Arial" w:cs="Arial"/>
          <w:color w:val="000000" w:themeColor="text1"/>
          <w:sz w:val="24"/>
          <w:szCs w:val="24"/>
          <w:lang w:eastAsia="fr-FR"/>
        </w:rPr>
        <w:t xml:space="preserve">L’obligation d’aménagement de poste est dite raisonnable dans la mesure où l’employeur doit mettre en place des mesures nécessaires et appropriées pour pallier les difficultés rencontrées par un salarié en situation de handicap dans l’exercice de ses missions sans que leur mise en </w:t>
      </w:r>
      <w:r w:rsidRPr="00405B4B">
        <w:rPr>
          <w:rFonts w:ascii="Arial" w:eastAsia="Times New Roman" w:hAnsi="Arial" w:cs="Arial"/>
          <w:color w:val="000000" w:themeColor="text1"/>
          <w:sz w:val="24"/>
          <w:szCs w:val="24"/>
          <w:lang w:eastAsia="fr-FR"/>
        </w:rPr>
        <w:t>œuvre</w:t>
      </w:r>
      <w:r w:rsidRPr="00405B4B">
        <w:rPr>
          <w:rFonts w:ascii="Arial" w:eastAsia="Times New Roman" w:hAnsi="Arial" w:cs="Arial"/>
          <w:color w:val="000000" w:themeColor="text1"/>
          <w:sz w:val="24"/>
          <w:szCs w:val="24"/>
          <w:lang w:eastAsia="fr-FR"/>
        </w:rPr>
        <w:t xml:space="preserve"> n’entraîne de charges disproportionnées pour l’entreprise ni ne favorise le travailleur en situation de handicap.</w:t>
      </w:r>
    </w:p>
    <w:p w14:paraId="488D8D53" w14:textId="408FCD1F" w:rsidR="00405B4B" w:rsidRPr="0080414B" w:rsidRDefault="00405B4B" w:rsidP="00405B4B">
      <w:pPr>
        <w:pStyle w:val="Titre2"/>
        <w:jc w:val="both"/>
      </w:pPr>
      <w:r>
        <w:t xml:space="preserve">Comment </w:t>
      </w:r>
      <w:r>
        <w:t>adapter le lieu de travail</w:t>
      </w:r>
      <w:r w:rsidRPr="0080414B">
        <w:t xml:space="preserve"> ?</w:t>
      </w:r>
    </w:p>
    <w:p w14:paraId="529A858A"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sz w:val="24"/>
          <w:szCs w:val="24"/>
          <w:lang w:eastAsia="fr-FR"/>
        </w:rPr>
      </w:pPr>
      <w:r w:rsidRPr="00405B4B">
        <w:rPr>
          <w:rFonts w:ascii="Arial" w:eastAsia="Times New Roman" w:hAnsi="Arial" w:cs="Arial"/>
          <w:color w:val="000000"/>
          <w:sz w:val="24"/>
          <w:szCs w:val="24"/>
          <w:lang w:eastAsia="fr-FR"/>
        </w:rPr>
        <w:t>L’adaptation du lieu de travail doit être entreprise par l’employeur et avec d’autres acteurs qualifiés.</w:t>
      </w:r>
    </w:p>
    <w:p w14:paraId="0D01DEF8"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sz w:val="24"/>
          <w:szCs w:val="24"/>
          <w:lang w:eastAsia="fr-FR"/>
        </w:rPr>
      </w:pPr>
      <w:r w:rsidRPr="00405B4B">
        <w:rPr>
          <w:rFonts w:ascii="Arial" w:eastAsia="Times New Roman" w:hAnsi="Arial" w:cs="Arial"/>
          <w:color w:val="000000"/>
          <w:sz w:val="24"/>
          <w:szCs w:val="24"/>
          <w:lang w:eastAsia="fr-FR"/>
        </w:rPr>
        <w:t>Le salarié concerné doit être associé à cette démarche.</w:t>
      </w:r>
    </w:p>
    <w:p w14:paraId="1BD38FC9"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sz w:val="24"/>
          <w:szCs w:val="24"/>
          <w:lang w:eastAsia="fr-FR"/>
        </w:rPr>
      </w:pPr>
      <w:r w:rsidRPr="00405B4B">
        <w:rPr>
          <w:rFonts w:ascii="Arial" w:eastAsia="Times New Roman" w:hAnsi="Arial" w:cs="Arial"/>
          <w:color w:val="000000"/>
          <w:sz w:val="24"/>
          <w:szCs w:val="24"/>
          <w:lang w:eastAsia="fr-FR"/>
        </w:rPr>
        <w:t>1) L’employeur doit s’adresser à un médecin du travail qui analysera la situation et émettra un avis.</w:t>
      </w:r>
    </w:p>
    <w:p w14:paraId="1E3FD4A2"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sz w:val="24"/>
          <w:szCs w:val="24"/>
          <w:lang w:eastAsia="fr-FR"/>
        </w:rPr>
      </w:pPr>
      <w:r w:rsidRPr="00405B4B">
        <w:rPr>
          <w:rFonts w:ascii="Arial" w:eastAsia="Times New Roman" w:hAnsi="Arial" w:cs="Arial"/>
          <w:color w:val="000000"/>
          <w:sz w:val="24"/>
          <w:szCs w:val="24"/>
          <w:lang w:eastAsia="fr-FR"/>
        </w:rPr>
        <w:t>2) Si l’avis rendu préconise un aménagement de poste, alors l’employeur est tenu de tout mettre en œuvre pour l’aménager.</w:t>
      </w:r>
    </w:p>
    <w:p w14:paraId="11CD10B0"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sz w:val="24"/>
          <w:szCs w:val="24"/>
          <w:lang w:eastAsia="fr-FR"/>
        </w:rPr>
      </w:pPr>
      <w:r w:rsidRPr="00405B4B">
        <w:rPr>
          <w:rFonts w:ascii="Arial" w:eastAsia="Times New Roman" w:hAnsi="Arial" w:cs="Arial"/>
          <w:color w:val="000000"/>
          <w:sz w:val="24"/>
          <w:szCs w:val="24"/>
          <w:lang w:eastAsia="fr-FR"/>
        </w:rPr>
        <w:t>Pour se faire, il peut faire appel aux partenaires-services de l’</w:t>
      </w:r>
      <w:proofErr w:type="spellStart"/>
      <w:r w:rsidRPr="00405B4B">
        <w:rPr>
          <w:rFonts w:ascii="Arial" w:eastAsia="Times New Roman" w:hAnsi="Arial" w:cs="Arial"/>
          <w:color w:val="000000"/>
          <w:sz w:val="24"/>
          <w:szCs w:val="24"/>
          <w:lang w:eastAsia="fr-FR"/>
        </w:rPr>
        <w:t>Agefiph</w:t>
      </w:r>
      <w:proofErr w:type="spellEnd"/>
      <w:r w:rsidRPr="00405B4B">
        <w:rPr>
          <w:rFonts w:ascii="Arial" w:eastAsia="Times New Roman" w:hAnsi="Arial" w:cs="Arial"/>
          <w:color w:val="000000"/>
          <w:sz w:val="24"/>
          <w:szCs w:val="24"/>
          <w:lang w:eastAsia="fr-FR"/>
        </w:rPr>
        <w:t>, et solliciter des spécialistes tels qu’un ergonome pour une étude complémentaire, qui sera financée par l’</w:t>
      </w:r>
      <w:proofErr w:type="spellStart"/>
      <w:r w:rsidRPr="00405B4B">
        <w:rPr>
          <w:rFonts w:ascii="Arial" w:eastAsia="Times New Roman" w:hAnsi="Arial" w:cs="Arial"/>
          <w:color w:val="000000"/>
          <w:sz w:val="24"/>
          <w:szCs w:val="24"/>
          <w:lang w:eastAsia="fr-FR"/>
        </w:rPr>
        <w:t>Agefiph</w:t>
      </w:r>
      <w:proofErr w:type="spellEnd"/>
      <w:r w:rsidRPr="00405B4B">
        <w:rPr>
          <w:rFonts w:ascii="Arial" w:eastAsia="Times New Roman" w:hAnsi="Arial" w:cs="Arial"/>
          <w:color w:val="000000"/>
          <w:sz w:val="24"/>
          <w:szCs w:val="24"/>
          <w:lang w:eastAsia="fr-FR"/>
        </w:rPr>
        <w:t>.</w:t>
      </w:r>
    </w:p>
    <w:p w14:paraId="46036C90" w14:textId="4DCA05CB" w:rsidR="00405B4B" w:rsidRPr="0080414B" w:rsidRDefault="00405B4B" w:rsidP="00405B4B">
      <w:pPr>
        <w:pStyle w:val="Titre2"/>
      </w:pPr>
      <w:r>
        <w:t>Les sanctions en cas de refus d’adaptation de la part de l’employeur.</w:t>
      </w:r>
    </w:p>
    <w:p w14:paraId="108C739A"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405B4B">
        <w:rPr>
          <w:rFonts w:ascii="Arial" w:eastAsia="Times New Roman" w:hAnsi="Arial" w:cs="Arial"/>
          <w:color w:val="000000" w:themeColor="text1"/>
          <w:sz w:val="24"/>
          <w:szCs w:val="24"/>
          <w:lang w:eastAsia="fr-FR"/>
        </w:rPr>
        <w:t>Le refus de procéder à des aménagements du poste de travail qui permettraient à une personne handicapée d’accéder à un emploi, de l’exercer, de le conserver ou d’y progresser peut être considéré comme de </w:t>
      </w:r>
      <w:r w:rsidRPr="00405B4B">
        <w:rPr>
          <w:rFonts w:ascii="Arial" w:eastAsia="Times New Roman" w:hAnsi="Arial" w:cs="Arial"/>
          <w:b/>
          <w:bCs/>
          <w:color w:val="000000" w:themeColor="text1"/>
          <w:sz w:val="24"/>
          <w:szCs w:val="24"/>
          <w:lang w:eastAsia="fr-FR"/>
        </w:rPr>
        <w:t>la discrimination directe.</w:t>
      </w:r>
    </w:p>
    <w:p w14:paraId="773B9D67" w14:textId="77777777" w:rsidR="00405B4B" w:rsidRPr="00405B4B" w:rsidRDefault="00405B4B" w:rsidP="00405B4B">
      <w:p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405B4B">
        <w:rPr>
          <w:rFonts w:ascii="Arial" w:eastAsia="Times New Roman" w:hAnsi="Arial" w:cs="Arial"/>
          <w:color w:val="000000" w:themeColor="text1"/>
          <w:sz w:val="24"/>
          <w:szCs w:val="24"/>
          <w:lang w:eastAsia="fr-FR"/>
        </w:rPr>
        <w:t>Ainsi, le licenciement discriminatoire qui en résulterait est nul (chambre sociale, 3 juin 2020).</w:t>
      </w:r>
    </w:p>
    <w:p w14:paraId="128AA7E8" w14:textId="77777777" w:rsidR="002B0FF4" w:rsidRDefault="002B0FF4"/>
    <w:sectPr w:rsidR="002B0FF4">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68955"/>
      <w:docPartObj>
        <w:docPartGallery w:val="Page Numbers (Bottom of Page)"/>
        <w:docPartUnique/>
      </w:docPartObj>
    </w:sdtPr>
    <w:sdtEndPr/>
    <w:sdtContent>
      <w:p w14:paraId="261E4F7A" w14:textId="77777777" w:rsidR="002C5ED4" w:rsidRDefault="006E4D53">
        <w:pPr>
          <w:pStyle w:val="Pieddepage"/>
          <w:jc w:val="center"/>
        </w:pPr>
        <w:r>
          <w:fldChar w:fldCharType="begin"/>
        </w:r>
        <w:r>
          <w:instrText>PAGE   \* MERGEFORMAT</w:instrText>
        </w:r>
        <w:r>
          <w:fldChar w:fldCharType="separate"/>
        </w:r>
        <w:r>
          <w:t>2</w:t>
        </w:r>
        <w:r>
          <w:fldChar w:fldCharType="end"/>
        </w:r>
      </w:p>
    </w:sdtContent>
  </w:sdt>
  <w:p w14:paraId="73DBB8C2" w14:textId="77777777" w:rsidR="002C5ED4" w:rsidRDefault="006E4D53">
    <w:pPr>
      <w:pStyle w:val="Pieddepag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3E18"/>
    <w:multiLevelType w:val="multilevel"/>
    <w:tmpl w:val="AE5C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410ED"/>
    <w:multiLevelType w:val="multilevel"/>
    <w:tmpl w:val="F38A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51261"/>
    <w:multiLevelType w:val="multilevel"/>
    <w:tmpl w:val="7C20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87B03"/>
    <w:multiLevelType w:val="multilevel"/>
    <w:tmpl w:val="F1BA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D3570"/>
    <w:multiLevelType w:val="multilevel"/>
    <w:tmpl w:val="A9D8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44C1B"/>
    <w:multiLevelType w:val="multilevel"/>
    <w:tmpl w:val="CF12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02D63"/>
    <w:multiLevelType w:val="multilevel"/>
    <w:tmpl w:val="EE96B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64DCB"/>
    <w:multiLevelType w:val="multilevel"/>
    <w:tmpl w:val="4796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A5461"/>
    <w:multiLevelType w:val="multilevel"/>
    <w:tmpl w:val="9D7A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2405D"/>
    <w:multiLevelType w:val="multilevel"/>
    <w:tmpl w:val="0350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63234"/>
    <w:multiLevelType w:val="multilevel"/>
    <w:tmpl w:val="75DA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A5673"/>
    <w:multiLevelType w:val="multilevel"/>
    <w:tmpl w:val="852A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10"/>
  </w:num>
  <w:num w:numId="5">
    <w:abstractNumId w:val="5"/>
  </w:num>
  <w:num w:numId="6">
    <w:abstractNumId w:val="9"/>
  </w:num>
  <w:num w:numId="7">
    <w:abstractNumId w:val="11"/>
  </w:num>
  <w:num w:numId="8">
    <w:abstractNumId w:val="8"/>
  </w:num>
  <w:num w:numId="9">
    <w:abstractNumId w:val="7"/>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4B"/>
    <w:rsid w:val="002B0FF4"/>
    <w:rsid w:val="00405B4B"/>
    <w:rsid w:val="0048086E"/>
    <w:rsid w:val="00601E34"/>
    <w:rsid w:val="006E4D53"/>
    <w:rsid w:val="00A21146"/>
    <w:rsid w:val="00F54C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F2E3C24"/>
  <w15:chartTrackingRefBased/>
  <w15:docId w15:val="{5FA1FF60-76C3-D34B-AB93-8F4B39C8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B4B"/>
    <w:pPr>
      <w:spacing w:after="200" w:line="276" w:lineRule="auto"/>
    </w:pPr>
    <w:rPr>
      <w:sz w:val="22"/>
      <w:szCs w:val="22"/>
    </w:rPr>
  </w:style>
  <w:style w:type="paragraph" w:styleId="Titre1">
    <w:name w:val="heading 1"/>
    <w:basedOn w:val="Normal"/>
    <w:next w:val="Normal"/>
    <w:link w:val="Titre1Car"/>
    <w:uiPriority w:val="9"/>
    <w:qFormat/>
    <w:rsid w:val="00405B4B"/>
    <w:pPr>
      <w:keepNext/>
      <w:keepLines/>
      <w:spacing w:before="240" w:after="0"/>
      <w:jc w:val="center"/>
      <w:outlineLvl w:val="0"/>
    </w:pPr>
    <w:rPr>
      <w:rFonts w:ascii="Arial" w:eastAsiaTheme="majorEastAsia" w:hAnsi="Arial" w:cstheme="majorBidi"/>
      <w:b/>
      <w:sz w:val="32"/>
      <w:szCs w:val="32"/>
      <w:u w:val="single"/>
    </w:rPr>
  </w:style>
  <w:style w:type="paragraph" w:styleId="Titre2">
    <w:name w:val="heading 2"/>
    <w:basedOn w:val="Normal"/>
    <w:next w:val="Normal"/>
    <w:link w:val="Titre2Car"/>
    <w:uiPriority w:val="9"/>
    <w:unhideWhenUsed/>
    <w:qFormat/>
    <w:rsid w:val="00405B4B"/>
    <w:pPr>
      <w:keepNext/>
      <w:keepLines/>
      <w:spacing w:before="40" w:after="0"/>
      <w:outlineLvl w:val="1"/>
    </w:pPr>
    <w:rPr>
      <w:rFonts w:ascii="Arial" w:eastAsiaTheme="majorEastAsia" w:hAnsi="Arial" w:cstheme="majorBidi"/>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5B4B"/>
    <w:rPr>
      <w:rFonts w:ascii="Arial" w:eastAsiaTheme="majorEastAsia" w:hAnsi="Arial" w:cstheme="majorBidi"/>
      <w:b/>
      <w:sz w:val="32"/>
      <w:szCs w:val="32"/>
      <w:u w:val="single"/>
    </w:rPr>
  </w:style>
  <w:style w:type="character" w:customStyle="1" w:styleId="Titre2Car">
    <w:name w:val="Titre 2 Car"/>
    <w:basedOn w:val="Policepardfaut"/>
    <w:link w:val="Titre2"/>
    <w:uiPriority w:val="9"/>
    <w:rsid w:val="00405B4B"/>
    <w:rPr>
      <w:rFonts w:ascii="Arial" w:eastAsiaTheme="majorEastAsia" w:hAnsi="Arial" w:cstheme="majorBidi"/>
      <w:b/>
      <w:sz w:val="26"/>
      <w:szCs w:val="26"/>
    </w:rPr>
  </w:style>
  <w:style w:type="character" w:styleId="Lienhypertexte">
    <w:name w:val="Hyperlink"/>
    <w:basedOn w:val="Policepardfaut"/>
    <w:uiPriority w:val="99"/>
    <w:unhideWhenUsed/>
    <w:rsid w:val="00405B4B"/>
    <w:rPr>
      <w:color w:val="0563C1" w:themeColor="hyperlink"/>
      <w:u w:val="single"/>
    </w:rPr>
  </w:style>
  <w:style w:type="paragraph" w:styleId="Pieddepage">
    <w:name w:val="footer"/>
    <w:basedOn w:val="Normal"/>
    <w:link w:val="PieddepageCar"/>
    <w:uiPriority w:val="99"/>
    <w:unhideWhenUsed/>
    <w:rsid w:val="00405B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4B"/>
    <w:rPr>
      <w:sz w:val="22"/>
      <w:szCs w:val="22"/>
    </w:rPr>
  </w:style>
  <w:style w:type="paragraph" w:customStyle="1" w:styleId="04xlpa">
    <w:name w:val="_04xlpa"/>
    <w:basedOn w:val="Normal"/>
    <w:rsid w:val="00405B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sgrdq">
    <w:name w:val="jsgrdq"/>
    <w:basedOn w:val="Policepardfaut"/>
    <w:rsid w:val="00405B4B"/>
  </w:style>
  <w:style w:type="character" w:customStyle="1" w:styleId="apple-converted-space">
    <w:name w:val="apple-converted-space"/>
    <w:basedOn w:val="Policepardfaut"/>
    <w:rsid w:val="00405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8003">
      <w:bodyDiv w:val="1"/>
      <w:marLeft w:val="0"/>
      <w:marRight w:val="0"/>
      <w:marTop w:val="0"/>
      <w:marBottom w:val="0"/>
      <w:divBdr>
        <w:top w:val="none" w:sz="0" w:space="0" w:color="auto"/>
        <w:left w:val="none" w:sz="0" w:space="0" w:color="auto"/>
        <w:bottom w:val="none" w:sz="0" w:space="0" w:color="auto"/>
        <w:right w:val="none" w:sz="0" w:space="0" w:color="auto"/>
      </w:divBdr>
    </w:div>
    <w:div w:id="454640659">
      <w:bodyDiv w:val="1"/>
      <w:marLeft w:val="0"/>
      <w:marRight w:val="0"/>
      <w:marTop w:val="0"/>
      <w:marBottom w:val="0"/>
      <w:divBdr>
        <w:top w:val="none" w:sz="0" w:space="0" w:color="auto"/>
        <w:left w:val="none" w:sz="0" w:space="0" w:color="auto"/>
        <w:bottom w:val="none" w:sz="0" w:space="0" w:color="auto"/>
        <w:right w:val="none" w:sz="0" w:space="0" w:color="auto"/>
      </w:divBdr>
    </w:div>
    <w:div w:id="1080057288">
      <w:bodyDiv w:val="1"/>
      <w:marLeft w:val="0"/>
      <w:marRight w:val="0"/>
      <w:marTop w:val="0"/>
      <w:marBottom w:val="0"/>
      <w:divBdr>
        <w:top w:val="none" w:sz="0" w:space="0" w:color="auto"/>
        <w:left w:val="none" w:sz="0" w:space="0" w:color="auto"/>
        <w:bottom w:val="none" w:sz="0" w:space="0" w:color="auto"/>
        <w:right w:val="none" w:sz="0" w:space="0" w:color="auto"/>
      </w:divBdr>
    </w:div>
    <w:div w:id="1363363334">
      <w:bodyDiv w:val="1"/>
      <w:marLeft w:val="0"/>
      <w:marRight w:val="0"/>
      <w:marTop w:val="0"/>
      <w:marBottom w:val="0"/>
      <w:divBdr>
        <w:top w:val="none" w:sz="0" w:space="0" w:color="auto"/>
        <w:left w:val="none" w:sz="0" w:space="0" w:color="auto"/>
        <w:bottom w:val="none" w:sz="0" w:space="0" w:color="auto"/>
        <w:right w:val="none" w:sz="0" w:space="0" w:color="auto"/>
      </w:divBdr>
    </w:div>
    <w:div w:id="1415584970">
      <w:bodyDiv w:val="1"/>
      <w:marLeft w:val="0"/>
      <w:marRight w:val="0"/>
      <w:marTop w:val="0"/>
      <w:marBottom w:val="0"/>
      <w:divBdr>
        <w:top w:val="none" w:sz="0" w:space="0" w:color="auto"/>
        <w:left w:val="none" w:sz="0" w:space="0" w:color="auto"/>
        <w:bottom w:val="none" w:sz="0" w:space="0" w:color="auto"/>
        <w:right w:val="none" w:sz="0" w:space="0" w:color="auto"/>
      </w:divBdr>
    </w:div>
    <w:div w:id="1930655090">
      <w:bodyDiv w:val="1"/>
      <w:marLeft w:val="0"/>
      <w:marRight w:val="0"/>
      <w:marTop w:val="0"/>
      <w:marBottom w:val="0"/>
      <w:divBdr>
        <w:top w:val="none" w:sz="0" w:space="0" w:color="auto"/>
        <w:left w:val="none" w:sz="0" w:space="0" w:color="auto"/>
        <w:bottom w:val="none" w:sz="0" w:space="0" w:color="auto"/>
        <w:right w:val="none" w:sz="0" w:space="0" w:color="auto"/>
      </w:divBdr>
    </w:div>
    <w:div w:id="1938754018">
      <w:bodyDiv w:val="1"/>
      <w:marLeft w:val="0"/>
      <w:marRight w:val="0"/>
      <w:marTop w:val="0"/>
      <w:marBottom w:val="0"/>
      <w:divBdr>
        <w:top w:val="none" w:sz="0" w:space="0" w:color="auto"/>
        <w:left w:val="none" w:sz="0" w:space="0" w:color="auto"/>
        <w:bottom w:val="none" w:sz="0" w:space="0" w:color="auto"/>
        <w:right w:val="none" w:sz="0" w:space="0" w:color="auto"/>
      </w:divBdr>
    </w:div>
    <w:div w:id="19481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2664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Mercado</dc:creator>
  <cp:keywords/>
  <dc:description/>
  <cp:lastModifiedBy>Léa Mercado</cp:lastModifiedBy>
  <cp:revision>2</cp:revision>
  <dcterms:created xsi:type="dcterms:W3CDTF">2022-04-27T13:40:00Z</dcterms:created>
  <dcterms:modified xsi:type="dcterms:W3CDTF">2022-04-27T13:40:00Z</dcterms:modified>
</cp:coreProperties>
</file>